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ook w:val="04A0" w:firstRow="1" w:lastRow="0" w:firstColumn="1" w:lastColumn="0" w:noHBand="0" w:noVBand="1"/>
      </w:tblPr>
      <w:tblGrid>
        <w:gridCol w:w="8271"/>
      </w:tblGrid>
      <w:tr w:rsidR="00D36811" w:rsidRPr="00AA0A2C" w:rsidTr="00DE0A9C">
        <w:trPr>
          <w:trHeight w:val="2880"/>
          <w:jc w:val="center"/>
        </w:trPr>
        <w:tc>
          <w:tcPr>
            <w:tcW w:w="5000" w:type="pct"/>
            <w:shd w:val="clear" w:color="auto" w:fill="auto"/>
            <w:vAlign w:val="center"/>
          </w:tcPr>
          <w:p w:rsidR="00D36811" w:rsidRPr="00AA0A2C" w:rsidRDefault="00D36811" w:rsidP="00DE0A9C">
            <w:pPr>
              <w:jc w:val="center"/>
              <w:rPr>
                <w:rFonts w:asciiTheme="majorHAnsi" w:hAnsiTheme="majorHAnsi" w:cs="Arial"/>
                <w:b/>
                <w:caps/>
                <w:sz w:val="24"/>
                <w:szCs w:val="24"/>
              </w:rPr>
            </w:pPr>
            <w:bookmarkStart w:id="0" w:name="_Toc384211344"/>
            <w:bookmarkStart w:id="1" w:name="_Toc384211093"/>
            <w:bookmarkStart w:id="2" w:name="_Toc384208868"/>
            <w:bookmarkStart w:id="3" w:name="_Toc384208737"/>
            <w:r w:rsidRPr="00AA0A2C">
              <w:rPr>
                <w:rFonts w:asciiTheme="majorHAnsi" w:hAnsiTheme="majorHAnsi" w:cs="Arial"/>
                <w:b/>
                <w:caps/>
                <w:sz w:val="24"/>
                <w:szCs w:val="24"/>
              </w:rPr>
              <w:t>ESTUDIO DE IMPACTO AMBIENTAL PARA LA CONSTRUCCIÓN DE LA VARIANTE PUERTO BERRÍO EN LOS DEPARTAMENTOS DE ANTIOQUIA Y SANTANDER</w:t>
            </w:r>
          </w:p>
        </w:tc>
      </w:tr>
      <w:tr w:rsidR="00D36811" w:rsidRPr="00AA0A2C" w:rsidTr="00DE0A9C">
        <w:trPr>
          <w:trHeight w:val="1440"/>
          <w:jc w:val="center"/>
        </w:trPr>
        <w:tc>
          <w:tcPr>
            <w:tcW w:w="5000" w:type="pct"/>
            <w:tcBorders>
              <w:bottom w:val="single" w:sz="4" w:space="0" w:color="4F81BD"/>
            </w:tcBorders>
            <w:shd w:val="clear" w:color="auto" w:fill="auto"/>
            <w:vAlign w:val="center"/>
          </w:tcPr>
          <w:p w:rsidR="00D36811" w:rsidRPr="00AA0A2C" w:rsidRDefault="00D36811" w:rsidP="00DE0A9C">
            <w:pPr>
              <w:jc w:val="center"/>
              <w:rPr>
                <w:rFonts w:asciiTheme="majorHAnsi" w:hAnsiTheme="majorHAnsi" w:cs="Arial"/>
                <w:b/>
                <w:caps/>
                <w:sz w:val="24"/>
                <w:szCs w:val="24"/>
              </w:rPr>
            </w:pPr>
          </w:p>
          <w:p w:rsidR="00D36811" w:rsidRPr="00AA0A2C" w:rsidRDefault="00D36811" w:rsidP="00DE0A9C">
            <w:pPr>
              <w:jc w:val="center"/>
              <w:rPr>
                <w:rFonts w:asciiTheme="majorHAnsi" w:hAnsiTheme="majorHAnsi" w:cs="Arial"/>
                <w:b/>
                <w:caps/>
                <w:sz w:val="24"/>
                <w:szCs w:val="24"/>
              </w:rPr>
            </w:pPr>
          </w:p>
          <w:p w:rsidR="00D36811" w:rsidRPr="00AA0A2C" w:rsidRDefault="00D36811" w:rsidP="00DE0A9C">
            <w:pPr>
              <w:jc w:val="center"/>
              <w:rPr>
                <w:rFonts w:asciiTheme="majorHAnsi" w:hAnsiTheme="majorHAnsi" w:cs="Arial"/>
                <w:b/>
                <w:caps/>
                <w:sz w:val="24"/>
                <w:szCs w:val="24"/>
              </w:rPr>
            </w:pPr>
          </w:p>
          <w:p w:rsidR="00D36811" w:rsidRPr="00AA0A2C" w:rsidRDefault="00D36811" w:rsidP="00DE0A9C">
            <w:pPr>
              <w:jc w:val="center"/>
              <w:rPr>
                <w:rFonts w:asciiTheme="majorHAnsi" w:hAnsiTheme="majorHAnsi" w:cs="Arial"/>
                <w:b/>
                <w:caps/>
                <w:sz w:val="24"/>
                <w:szCs w:val="24"/>
              </w:rPr>
            </w:pPr>
          </w:p>
          <w:p w:rsidR="002B740B" w:rsidRDefault="00EC0045" w:rsidP="00DE0A9C">
            <w:pPr>
              <w:jc w:val="center"/>
              <w:rPr>
                <w:rFonts w:asciiTheme="majorHAnsi" w:hAnsiTheme="majorHAnsi" w:cs="Arial"/>
                <w:b/>
                <w:caps/>
                <w:sz w:val="24"/>
                <w:szCs w:val="24"/>
              </w:rPr>
            </w:pPr>
            <w:r w:rsidRPr="00AA0A2C">
              <w:rPr>
                <w:rFonts w:asciiTheme="majorHAnsi" w:hAnsiTheme="majorHAnsi" w:cs="Arial"/>
                <w:b/>
                <w:caps/>
                <w:sz w:val="24"/>
                <w:szCs w:val="24"/>
              </w:rPr>
              <w:t>CAPÍTULO 10</w:t>
            </w:r>
            <w:r w:rsidR="00D36811" w:rsidRPr="00AA0A2C">
              <w:rPr>
                <w:rFonts w:asciiTheme="majorHAnsi" w:hAnsiTheme="majorHAnsi" w:cs="Arial"/>
                <w:b/>
                <w:caps/>
                <w:sz w:val="24"/>
                <w:szCs w:val="24"/>
              </w:rPr>
              <w:t>. EVALUACIÓN</w:t>
            </w:r>
            <w:r w:rsidRPr="00AA0A2C">
              <w:rPr>
                <w:rFonts w:asciiTheme="majorHAnsi" w:hAnsiTheme="majorHAnsi" w:cs="Arial"/>
                <w:b/>
                <w:caps/>
                <w:sz w:val="24"/>
                <w:szCs w:val="24"/>
              </w:rPr>
              <w:t xml:space="preserve"> </w:t>
            </w:r>
            <w:r w:rsidR="00C635FA" w:rsidRPr="00AA0A2C">
              <w:rPr>
                <w:rFonts w:asciiTheme="majorHAnsi" w:hAnsiTheme="majorHAnsi" w:cs="Arial"/>
                <w:b/>
                <w:caps/>
                <w:sz w:val="24"/>
                <w:szCs w:val="24"/>
              </w:rPr>
              <w:t>ECONÓMICA AMBIENTAL</w:t>
            </w:r>
          </w:p>
          <w:p w:rsidR="00D36811" w:rsidRPr="00AA0A2C" w:rsidRDefault="00D36811" w:rsidP="00DE0A9C">
            <w:pPr>
              <w:jc w:val="center"/>
              <w:rPr>
                <w:rFonts w:asciiTheme="majorHAnsi" w:hAnsiTheme="majorHAnsi" w:cs="Arial"/>
                <w:b/>
                <w:caps/>
                <w:sz w:val="24"/>
                <w:szCs w:val="24"/>
              </w:rPr>
            </w:pPr>
            <w:r w:rsidRPr="00AA0A2C">
              <w:rPr>
                <w:rFonts w:asciiTheme="majorHAnsi" w:hAnsiTheme="majorHAnsi" w:cs="Arial"/>
                <w:b/>
                <w:caps/>
                <w:sz w:val="24"/>
                <w:szCs w:val="24"/>
              </w:rPr>
              <w:t xml:space="preserve">  </w:t>
            </w:r>
          </w:p>
        </w:tc>
      </w:tr>
      <w:tr w:rsidR="00D36811" w:rsidRPr="00AA0A2C" w:rsidTr="00DE0A9C">
        <w:trPr>
          <w:trHeight w:val="2835"/>
          <w:jc w:val="center"/>
        </w:trPr>
        <w:tc>
          <w:tcPr>
            <w:tcW w:w="5000" w:type="pct"/>
            <w:tcBorders>
              <w:top w:val="single" w:sz="4" w:space="0" w:color="4F81BD"/>
            </w:tcBorders>
            <w:shd w:val="clear" w:color="auto" w:fill="auto"/>
            <w:vAlign w:val="center"/>
          </w:tcPr>
          <w:p w:rsidR="00D36811" w:rsidRPr="00AA0A2C" w:rsidRDefault="00D36811" w:rsidP="00DE0A9C">
            <w:pPr>
              <w:jc w:val="center"/>
              <w:rPr>
                <w:rFonts w:asciiTheme="majorHAnsi" w:hAnsiTheme="majorHAnsi"/>
                <w:b/>
                <w:noProof/>
                <w:sz w:val="24"/>
                <w:szCs w:val="24"/>
                <w:lang w:eastAsia="es-CO"/>
              </w:rPr>
            </w:pPr>
          </w:p>
          <w:p w:rsidR="00D36811" w:rsidRPr="00AA0A2C" w:rsidRDefault="00D36811" w:rsidP="00DE0A9C">
            <w:pPr>
              <w:jc w:val="center"/>
              <w:rPr>
                <w:rFonts w:asciiTheme="majorHAnsi" w:hAnsiTheme="majorHAnsi"/>
                <w:b/>
                <w:noProof/>
                <w:sz w:val="24"/>
                <w:szCs w:val="24"/>
                <w:lang w:eastAsia="es-CO"/>
              </w:rPr>
            </w:pPr>
          </w:p>
          <w:p w:rsidR="00D36811" w:rsidRPr="00AA0A2C" w:rsidRDefault="002B740B" w:rsidP="00DE0A9C">
            <w:pPr>
              <w:jc w:val="center"/>
              <w:rPr>
                <w:rFonts w:asciiTheme="majorHAnsi" w:hAnsiTheme="majorHAnsi"/>
                <w:b/>
                <w:noProof/>
                <w:sz w:val="24"/>
                <w:szCs w:val="24"/>
                <w:lang w:eastAsia="es-CO"/>
              </w:rPr>
            </w:pPr>
            <w:r>
              <w:rPr>
                <w:rFonts w:asciiTheme="majorHAnsi" w:hAnsiTheme="majorHAnsi"/>
                <w:b/>
                <w:noProof/>
                <w:sz w:val="24"/>
                <w:szCs w:val="24"/>
                <w:lang w:eastAsia="es-CO"/>
              </w:rPr>
              <w:t>CONCESION AUTOPISTA RÍO MAGDALENA</w:t>
            </w:r>
          </w:p>
          <w:p w:rsidR="00D36811" w:rsidRPr="00AA0A2C" w:rsidRDefault="00D36811" w:rsidP="00DE0A9C">
            <w:pPr>
              <w:jc w:val="center"/>
              <w:rPr>
                <w:rFonts w:asciiTheme="majorHAnsi" w:hAnsiTheme="majorHAnsi"/>
                <w:b/>
                <w:noProof/>
                <w:sz w:val="24"/>
                <w:szCs w:val="24"/>
                <w:lang w:eastAsia="es-CO"/>
              </w:rPr>
            </w:pPr>
          </w:p>
          <w:p w:rsidR="00D36811" w:rsidRPr="00AA0A2C" w:rsidRDefault="00D36811" w:rsidP="00DE0A9C">
            <w:pPr>
              <w:jc w:val="center"/>
              <w:rPr>
                <w:rFonts w:asciiTheme="majorHAnsi" w:hAnsiTheme="majorHAnsi" w:cs="Arial"/>
                <w:b/>
                <w:sz w:val="24"/>
                <w:szCs w:val="24"/>
              </w:rPr>
            </w:pPr>
          </w:p>
          <w:p w:rsidR="00D36811" w:rsidRPr="00AA0A2C" w:rsidRDefault="002B740B" w:rsidP="00DE0A9C">
            <w:pPr>
              <w:jc w:val="center"/>
              <w:rPr>
                <w:rFonts w:asciiTheme="majorHAnsi" w:hAnsiTheme="majorHAnsi" w:cs="Arial"/>
                <w:b/>
                <w:sz w:val="24"/>
                <w:szCs w:val="24"/>
              </w:rPr>
            </w:pPr>
            <w:r w:rsidRPr="00AA0A2C">
              <w:rPr>
                <w:rFonts w:asciiTheme="majorHAnsi" w:hAnsiTheme="majorHAnsi"/>
                <w:b/>
                <w:noProof/>
                <w:sz w:val="24"/>
                <w:szCs w:val="24"/>
                <w:lang w:eastAsia="es-CO"/>
              </w:rPr>
              <w:drawing>
                <wp:inline distT="0" distB="0" distL="0" distR="0" wp14:anchorId="5ECA1A04" wp14:editId="0A54E811">
                  <wp:extent cx="1714500" cy="5429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l="18445" t="24181" r="39850" b="52644"/>
                          <a:stretch>
                            <a:fillRect/>
                          </a:stretch>
                        </pic:blipFill>
                        <pic:spPr bwMode="auto">
                          <a:xfrm>
                            <a:off x="0" y="0"/>
                            <a:ext cx="1714500" cy="542925"/>
                          </a:xfrm>
                          <a:prstGeom prst="rect">
                            <a:avLst/>
                          </a:prstGeom>
                          <a:noFill/>
                          <a:ln>
                            <a:noFill/>
                          </a:ln>
                        </pic:spPr>
                      </pic:pic>
                    </a:graphicData>
                  </a:graphic>
                </wp:inline>
              </w:drawing>
            </w:r>
          </w:p>
          <w:p w:rsidR="00D36811" w:rsidRPr="00AA0A2C" w:rsidRDefault="00D36811" w:rsidP="00DE0A9C">
            <w:pPr>
              <w:jc w:val="center"/>
              <w:rPr>
                <w:rFonts w:asciiTheme="majorHAnsi" w:hAnsiTheme="majorHAnsi" w:cs="Arial"/>
                <w:b/>
                <w:sz w:val="24"/>
                <w:szCs w:val="24"/>
              </w:rPr>
            </w:pPr>
          </w:p>
          <w:p w:rsidR="00D36811" w:rsidRPr="00AA0A2C" w:rsidRDefault="00D36811" w:rsidP="00DE0A9C">
            <w:pPr>
              <w:jc w:val="center"/>
              <w:rPr>
                <w:rFonts w:asciiTheme="majorHAnsi" w:hAnsiTheme="majorHAnsi" w:cs="Arial"/>
                <w:b/>
                <w:sz w:val="24"/>
                <w:szCs w:val="24"/>
              </w:rPr>
            </w:pPr>
          </w:p>
        </w:tc>
      </w:tr>
      <w:tr w:rsidR="00D36811" w:rsidRPr="00AA0A2C" w:rsidTr="00DE0A9C">
        <w:trPr>
          <w:trHeight w:val="360"/>
          <w:jc w:val="center"/>
        </w:trPr>
        <w:tc>
          <w:tcPr>
            <w:tcW w:w="5000" w:type="pct"/>
            <w:shd w:val="clear" w:color="auto" w:fill="auto"/>
            <w:vAlign w:val="center"/>
          </w:tcPr>
          <w:p w:rsidR="00D36811" w:rsidRPr="00AA0A2C" w:rsidRDefault="00D36811" w:rsidP="00D36811">
            <w:pPr>
              <w:pStyle w:val="Textoindependiente2"/>
              <w:spacing w:after="0"/>
              <w:jc w:val="center"/>
              <w:rPr>
                <w:rFonts w:asciiTheme="majorHAnsi" w:hAnsiTheme="majorHAnsi"/>
                <w:b/>
                <w:sz w:val="24"/>
                <w:szCs w:val="24"/>
              </w:rPr>
            </w:pPr>
          </w:p>
          <w:p w:rsidR="00D36811" w:rsidRPr="00AA0A2C" w:rsidRDefault="00D36811" w:rsidP="00D36811">
            <w:pPr>
              <w:pStyle w:val="Textoindependiente2"/>
              <w:spacing w:after="0"/>
              <w:jc w:val="center"/>
              <w:rPr>
                <w:rFonts w:asciiTheme="majorHAnsi" w:hAnsiTheme="majorHAnsi"/>
                <w:b/>
                <w:sz w:val="24"/>
                <w:szCs w:val="24"/>
              </w:rPr>
            </w:pPr>
          </w:p>
          <w:p w:rsidR="00D36811" w:rsidRPr="00AA0A2C" w:rsidRDefault="00D36811" w:rsidP="00D36811">
            <w:pPr>
              <w:pStyle w:val="Textoindependiente2"/>
              <w:spacing w:after="0"/>
              <w:jc w:val="center"/>
              <w:rPr>
                <w:rFonts w:asciiTheme="majorHAnsi" w:hAnsiTheme="majorHAnsi"/>
                <w:b/>
                <w:sz w:val="24"/>
                <w:szCs w:val="24"/>
              </w:rPr>
            </w:pPr>
          </w:p>
          <w:p w:rsidR="00D36811" w:rsidRPr="00AA0A2C" w:rsidRDefault="00D36811" w:rsidP="00D36811">
            <w:pPr>
              <w:pStyle w:val="Textoindependiente2"/>
              <w:spacing w:after="0" w:line="276" w:lineRule="auto"/>
              <w:jc w:val="center"/>
              <w:rPr>
                <w:rFonts w:asciiTheme="majorHAnsi" w:hAnsiTheme="majorHAnsi"/>
                <w:b/>
                <w:sz w:val="24"/>
                <w:szCs w:val="24"/>
              </w:rPr>
            </w:pPr>
            <w:r w:rsidRPr="00AA0A2C">
              <w:rPr>
                <w:rFonts w:asciiTheme="majorHAnsi" w:hAnsiTheme="majorHAnsi"/>
                <w:b/>
                <w:sz w:val="24"/>
                <w:szCs w:val="24"/>
              </w:rPr>
              <w:t xml:space="preserve">Bogotá D.C., </w:t>
            </w:r>
            <w:r w:rsidR="00C635FA" w:rsidRPr="00AA0A2C">
              <w:rPr>
                <w:rFonts w:asciiTheme="majorHAnsi" w:hAnsiTheme="majorHAnsi"/>
                <w:b/>
                <w:sz w:val="24"/>
                <w:szCs w:val="24"/>
              </w:rPr>
              <w:t>Marzo de 2016</w:t>
            </w:r>
            <w:r w:rsidRPr="00AA0A2C">
              <w:rPr>
                <w:rFonts w:asciiTheme="majorHAnsi" w:hAnsiTheme="majorHAnsi"/>
                <w:b/>
                <w:sz w:val="24"/>
                <w:szCs w:val="24"/>
              </w:rPr>
              <w:cr/>
            </w:r>
          </w:p>
          <w:p w:rsidR="00D36811" w:rsidRPr="00AA0A2C" w:rsidRDefault="00D36811" w:rsidP="00D36811">
            <w:pPr>
              <w:jc w:val="center"/>
              <w:rPr>
                <w:rFonts w:asciiTheme="majorHAnsi" w:hAnsiTheme="majorHAnsi" w:cs="Arial"/>
                <w:b/>
                <w:sz w:val="24"/>
                <w:szCs w:val="24"/>
              </w:rPr>
            </w:pPr>
          </w:p>
        </w:tc>
      </w:tr>
      <w:tr w:rsidR="00D36811" w:rsidRPr="00AA0A2C" w:rsidTr="00DE0A9C">
        <w:trPr>
          <w:trHeight w:val="360"/>
          <w:jc w:val="center"/>
        </w:trPr>
        <w:tc>
          <w:tcPr>
            <w:tcW w:w="5000" w:type="pct"/>
            <w:shd w:val="clear" w:color="auto" w:fill="auto"/>
            <w:vAlign w:val="center"/>
          </w:tcPr>
          <w:p w:rsidR="00D36811" w:rsidRPr="00AA0A2C" w:rsidRDefault="00D36811" w:rsidP="00DE0A9C">
            <w:pPr>
              <w:rPr>
                <w:rFonts w:asciiTheme="majorHAnsi" w:hAnsiTheme="majorHAnsi" w:cs="Arial"/>
                <w:b/>
                <w:bCs/>
                <w:sz w:val="24"/>
                <w:szCs w:val="24"/>
              </w:rPr>
            </w:pPr>
          </w:p>
        </w:tc>
      </w:tr>
    </w:tbl>
    <w:sdt>
      <w:sdtPr>
        <w:rPr>
          <w:rFonts w:asciiTheme="majorHAnsi" w:hAnsiTheme="majorHAnsi"/>
        </w:rPr>
        <w:id w:val="-1156292620"/>
        <w:docPartObj>
          <w:docPartGallery w:val="Cover Pages"/>
          <w:docPartUnique/>
        </w:docPartObj>
      </w:sdtPr>
      <w:sdtContent>
        <w:p w:rsidR="00D36811" w:rsidRPr="00AA0A2C" w:rsidRDefault="00D36811" w:rsidP="00D36811">
          <w:pPr>
            <w:spacing w:line="240" w:lineRule="auto"/>
            <w:contextualSpacing w:val="0"/>
            <w:jc w:val="left"/>
            <w:rPr>
              <w:rFonts w:asciiTheme="majorHAnsi" w:hAnsiTheme="majorHAnsi"/>
            </w:rPr>
          </w:pPr>
          <w:r w:rsidRPr="00AA0A2C">
            <w:rPr>
              <w:rFonts w:asciiTheme="majorHAnsi" w:hAnsiTheme="majorHAnsi"/>
            </w:rPr>
            <w:br w:type="page"/>
          </w:r>
        </w:p>
      </w:sdtContent>
    </w:sdt>
    <w:p w:rsidR="00D36811" w:rsidRPr="00AA0A2C" w:rsidRDefault="00D36811" w:rsidP="00D36811">
      <w:pPr>
        <w:pStyle w:val="PortadaDocumento"/>
        <w:rPr>
          <w:rFonts w:asciiTheme="majorHAnsi" w:hAnsiTheme="majorHAnsi"/>
        </w:rPr>
      </w:pPr>
      <w:r w:rsidRPr="00AA0A2C">
        <w:rPr>
          <w:rFonts w:asciiTheme="majorHAnsi" w:hAnsiTheme="majorHAnsi"/>
        </w:rPr>
        <w:lastRenderedPageBreak/>
        <w:t>TABLA DE CONTENIDO</w:t>
      </w:r>
    </w:p>
    <w:p w:rsidR="00D36811" w:rsidRPr="00AA0A2C" w:rsidRDefault="00D36811" w:rsidP="00D36811">
      <w:pPr>
        <w:rPr>
          <w:rFonts w:asciiTheme="majorHAnsi" w:hAnsiTheme="majorHAnsi"/>
        </w:rPr>
      </w:pPr>
    </w:p>
    <w:p w:rsidR="00C635FA" w:rsidRPr="00AA0A2C" w:rsidRDefault="00D36811">
      <w:pPr>
        <w:pStyle w:val="TDC1"/>
        <w:tabs>
          <w:tab w:val="left" w:pos="660"/>
          <w:tab w:val="right" w:leader="dot" w:pos="8261"/>
        </w:tabs>
        <w:rPr>
          <w:rFonts w:asciiTheme="majorHAnsi" w:eastAsiaTheme="minorEastAsia" w:hAnsiTheme="majorHAnsi" w:cstheme="minorBidi"/>
          <w:bCs w:val="0"/>
          <w:iCs w:val="0"/>
          <w:caps w:val="0"/>
          <w:noProof/>
          <w:szCs w:val="22"/>
          <w:lang w:eastAsia="es-CO"/>
        </w:rPr>
      </w:pPr>
      <w:r w:rsidRPr="00AA0A2C">
        <w:rPr>
          <w:rFonts w:asciiTheme="majorHAnsi" w:hAnsiTheme="majorHAnsi"/>
        </w:rPr>
        <w:fldChar w:fldCharType="begin"/>
      </w:r>
      <w:r w:rsidRPr="00AA0A2C">
        <w:rPr>
          <w:rFonts w:asciiTheme="majorHAnsi" w:hAnsiTheme="majorHAnsi"/>
        </w:rPr>
        <w:instrText xml:space="preserve"> TOC \o "1-3" \h \z \u </w:instrText>
      </w:r>
      <w:r w:rsidRPr="00AA0A2C">
        <w:rPr>
          <w:rFonts w:asciiTheme="majorHAnsi" w:hAnsiTheme="majorHAnsi"/>
        </w:rPr>
        <w:fldChar w:fldCharType="separate"/>
      </w:r>
      <w:hyperlink w:anchor="_Toc445192917" w:history="1">
        <w:r w:rsidR="00C635FA" w:rsidRPr="00AA0A2C">
          <w:rPr>
            <w:rStyle w:val="Hipervnculo"/>
            <w:rFonts w:asciiTheme="majorHAnsi" w:hAnsiTheme="majorHAnsi"/>
            <w:noProof/>
          </w:rPr>
          <w:t>10.</w:t>
        </w:r>
        <w:r w:rsidR="00C635FA" w:rsidRPr="00AA0A2C">
          <w:rPr>
            <w:rFonts w:asciiTheme="majorHAnsi" w:eastAsiaTheme="minorEastAsia" w:hAnsiTheme="majorHAnsi" w:cstheme="minorBidi"/>
            <w:bCs w:val="0"/>
            <w:iCs w:val="0"/>
            <w:caps w:val="0"/>
            <w:noProof/>
            <w:szCs w:val="22"/>
            <w:lang w:eastAsia="es-CO"/>
          </w:rPr>
          <w:tab/>
        </w:r>
        <w:r w:rsidR="00C635FA" w:rsidRPr="00AA0A2C">
          <w:rPr>
            <w:rStyle w:val="Hipervnculo"/>
            <w:rFonts w:asciiTheme="majorHAnsi" w:hAnsiTheme="majorHAnsi"/>
            <w:noProof/>
          </w:rPr>
          <w:t>EVALUACIÓN ECONÓMICA DE IMPACTOS AMBIENTALES</w:t>
        </w:r>
        <w:r w:rsidR="00C635FA" w:rsidRPr="00AA0A2C">
          <w:rPr>
            <w:rFonts w:asciiTheme="majorHAnsi" w:hAnsiTheme="majorHAnsi"/>
            <w:noProof/>
            <w:webHidden/>
          </w:rPr>
          <w:tab/>
        </w:r>
        <w:r w:rsidR="00C635FA" w:rsidRPr="00AA0A2C">
          <w:rPr>
            <w:rFonts w:asciiTheme="majorHAnsi" w:hAnsiTheme="majorHAnsi"/>
            <w:noProof/>
            <w:webHidden/>
          </w:rPr>
          <w:fldChar w:fldCharType="begin"/>
        </w:r>
        <w:r w:rsidR="00C635FA" w:rsidRPr="00AA0A2C">
          <w:rPr>
            <w:rFonts w:asciiTheme="majorHAnsi" w:hAnsiTheme="majorHAnsi"/>
            <w:noProof/>
            <w:webHidden/>
          </w:rPr>
          <w:instrText xml:space="preserve"> PAGEREF _Toc445192917 \h </w:instrText>
        </w:r>
        <w:r w:rsidR="00C635FA" w:rsidRPr="00AA0A2C">
          <w:rPr>
            <w:rFonts w:asciiTheme="majorHAnsi" w:hAnsiTheme="majorHAnsi"/>
            <w:noProof/>
            <w:webHidden/>
          </w:rPr>
        </w:r>
        <w:r w:rsidR="00C635FA" w:rsidRPr="00AA0A2C">
          <w:rPr>
            <w:rFonts w:asciiTheme="majorHAnsi" w:hAnsiTheme="majorHAnsi"/>
            <w:noProof/>
            <w:webHidden/>
          </w:rPr>
          <w:fldChar w:fldCharType="separate"/>
        </w:r>
        <w:r w:rsidR="0010296A">
          <w:rPr>
            <w:rFonts w:asciiTheme="majorHAnsi" w:hAnsiTheme="majorHAnsi"/>
            <w:noProof/>
            <w:webHidden/>
          </w:rPr>
          <w:t>3</w:t>
        </w:r>
        <w:r w:rsidR="00C635FA" w:rsidRPr="00AA0A2C">
          <w:rPr>
            <w:rFonts w:asciiTheme="majorHAnsi" w:hAnsiTheme="majorHAnsi"/>
            <w:noProof/>
            <w:webHidden/>
          </w:rPr>
          <w:fldChar w:fldCharType="end"/>
        </w:r>
      </w:hyperlink>
    </w:p>
    <w:p w:rsidR="00C635FA" w:rsidRPr="00AA0A2C" w:rsidRDefault="0074463C">
      <w:pPr>
        <w:pStyle w:val="TDC2"/>
        <w:tabs>
          <w:tab w:val="left" w:pos="1100"/>
          <w:tab w:val="right" w:leader="dot" w:pos="8261"/>
        </w:tabs>
        <w:rPr>
          <w:rFonts w:asciiTheme="majorHAnsi" w:eastAsiaTheme="minorEastAsia" w:hAnsiTheme="majorHAnsi" w:cstheme="minorBidi"/>
          <w:bCs w:val="0"/>
          <w:noProof/>
          <w:lang w:eastAsia="es-CO"/>
        </w:rPr>
      </w:pPr>
      <w:hyperlink w:anchor="_Toc445192918" w:history="1">
        <w:r w:rsidR="00C635FA" w:rsidRPr="00AA0A2C">
          <w:rPr>
            <w:rStyle w:val="Hipervnculo"/>
            <w:rFonts w:asciiTheme="majorHAnsi" w:hAnsiTheme="majorHAnsi"/>
            <w:noProof/>
          </w:rPr>
          <w:t>10.1.</w:t>
        </w:r>
        <w:r w:rsidR="00C635FA" w:rsidRPr="00AA0A2C">
          <w:rPr>
            <w:rFonts w:asciiTheme="majorHAnsi" w:eastAsiaTheme="minorEastAsia" w:hAnsiTheme="majorHAnsi" w:cstheme="minorBidi"/>
            <w:bCs w:val="0"/>
            <w:noProof/>
            <w:lang w:eastAsia="es-CO"/>
          </w:rPr>
          <w:tab/>
        </w:r>
        <w:r w:rsidR="00C635FA" w:rsidRPr="00AA0A2C">
          <w:rPr>
            <w:rStyle w:val="Hipervnculo"/>
            <w:rFonts w:asciiTheme="majorHAnsi" w:hAnsiTheme="majorHAnsi"/>
            <w:noProof/>
          </w:rPr>
          <w:t>METODOLOGÍA PARA LA EVALUACIÓN ECONÓMICA</w:t>
        </w:r>
        <w:r w:rsidR="00C635FA" w:rsidRPr="00AA0A2C">
          <w:rPr>
            <w:rFonts w:asciiTheme="majorHAnsi" w:hAnsiTheme="majorHAnsi"/>
            <w:noProof/>
            <w:webHidden/>
          </w:rPr>
          <w:tab/>
        </w:r>
        <w:r w:rsidR="00C635FA" w:rsidRPr="00AA0A2C">
          <w:rPr>
            <w:rFonts w:asciiTheme="majorHAnsi" w:hAnsiTheme="majorHAnsi"/>
            <w:noProof/>
            <w:webHidden/>
          </w:rPr>
          <w:fldChar w:fldCharType="begin"/>
        </w:r>
        <w:r w:rsidR="00C635FA" w:rsidRPr="00AA0A2C">
          <w:rPr>
            <w:rFonts w:asciiTheme="majorHAnsi" w:hAnsiTheme="majorHAnsi"/>
            <w:noProof/>
            <w:webHidden/>
          </w:rPr>
          <w:instrText xml:space="preserve"> PAGEREF _Toc445192918 \h </w:instrText>
        </w:r>
        <w:r w:rsidR="00C635FA" w:rsidRPr="00AA0A2C">
          <w:rPr>
            <w:rFonts w:asciiTheme="majorHAnsi" w:hAnsiTheme="majorHAnsi"/>
            <w:noProof/>
            <w:webHidden/>
          </w:rPr>
        </w:r>
        <w:r w:rsidR="00C635FA" w:rsidRPr="00AA0A2C">
          <w:rPr>
            <w:rFonts w:asciiTheme="majorHAnsi" w:hAnsiTheme="majorHAnsi"/>
            <w:noProof/>
            <w:webHidden/>
          </w:rPr>
          <w:fldChar w:fldCharType="separate"/>
        </w:r>
        <w:r w:rsidR="0010296A">
          <w:rPr>
            <w:rFonts w:asciiTheme="majorHAnsi" w:hAnsiTheme="majorHAnsi"/>
            <w:noProof/>
            <w:webHidden/>
          </w:rPr>
          <w:t>3</w:t>
        </w:r>
        <w:r w:rsidR="00C635FA" w:rsidRPr="00AA0A2C">
          <w:rPr>
            <w:rFonts w:asciiTheme="majorHAnsi" w:hAnsiTheme="majorHAnsi"/>
            <w:noProof/>
            <w:webHidden/>
          </w:rPr>
          <w:fldChar w:fldCharType="end"/>
        </w:r>
      </w:hyperlink>
    </w:p>
    <w:p w:rsidR="00C635FA" w:rsidRPr="00AA0A2C" w:rsidRDefault="0074463C">
      <w:pPr>
        <w:pStyle w:val="TDC3"/>
        <w:tabs>
          <w:tab w:val="left" w:pos="1320"/>
          <w:tab w:val="right" w:leader="dot" w:pos="8261"/>
        </w:tabs>
        <w:rPr>
          <w:rFonts w:asciiTheme="majorHAnsi" w:eastAsiaTheme="minorEastAsia" w:hAnsiTheme="majorHAnsi" w:cstheme="minorBidi"/>
          <w:noProof/>
          <w:szCs w:val="22"/>
          <w:lang w:eastAsia="es-CO"/>
        </w:rPr>
      </w:pPr>
      <w:hyperlink w:anchor="_Toc445192919" w:history="1">
        <w:r w:rsidR="00C635FA" w:rsidRPr="00AA0A2C">
          <w:rPr>
            <w:rStyle w:val="Hipervnculo"/>
            <w:rFonts w:asciiTheme="majorHAnsi" w:hAnsiTheme="majorHAnsi"/>
            <w:noProof/>
          </w:rPr>
          <w:t>10.1.1.</w:t>
        </w:r>
        <w:r w:rsidR="00C635FA" w:rsidRPr="00AA0A2C">
          <w:rPr>
            <w:rFonts w:asciiTheme="majorHAnsi" w:eastAsiaTheme="minorEastAsia" w:hAnsiTheme="majorHAnsi" w:cstheme="minorBidi"/>
            <w:noProof/>
            <w:szCs w:val="22"/>
            <w:lang w:eastAsia="es-CO"/>
          </w:rPr>
          <w:tab/>
        </w:r>
        <w:r w:rsidR="00C635FA" w:rsidRPr="00AA0A2C">
          <w:rPr>
            <w:rStyle w:val="Hipervnculo"/>
            <w:rFonts w:asciiTheme="majorHAnsi" w:hAnsiTheme="majorHAnsi"/>
            <w:noProof/>
          </w:rPr>
          <w:t>Marco de Referencia</w:t>
        </w:r>
        <w:r w:rsidR="00C635FA" w:rsidRPr="00AA0A2C">
          <w:rPr>
            <w:rFonts w:asciiTheme="majorHAnsi" w:hAnsiTheme="majorHAnsi"/>
            <w:noProof/>
            <w:webHidden/>
          </w:rPr>
          <w:tab/>
        </w:r>
        <w:r w:rsidR="00C635FA" w:rsidRPr="00AA0A2C">
          <w:rPr>
            <w:rFonts w:asciiTheme="majorHAnsi" w:hAnsiTheme="majorHAnsi"/>
            <w:noProof/>
            <w:webHidden/>
          </w:rPr>
          <w:fldChar w:fldCharType="begin"/>
        </w:r>
        <w:r w:rsidR="00C635FA" w:rsidRPr="00AA0A2C">
          <w:rPr>
            <w:rFonts w:asciiTheme="majorHAnsi" w:hAnsiTheme="majorHAnsi"/>
            <w:noProof/>
            <w:webHidden/>
          </w:rPr>
          <w:instrText xml:space="preserve"> PAGEREF _Toc445192919 \h </w:instrText>
        </w:r>
        <w:r w:rsidR="00C635FA" w:rsidRPr="00AA0A2C">
          <w:rPr>
            <w:rFonts w:asciiTheme="majorHAnsi" w:hAnsiTheme="majorHAnsi"/>
            <w:noProof/>
            <w:webHidden/>
          </w:rPr>
        </w:r>
        <w:r w:rsidR="00C635FA" w:rsidRPr="00AA0A2C">
          <w:rPr>
            <w:rFonts w:asciiTheme="majorHAnsi" w:hAnsiTheme="majorHAnsi"/>
            <w:noProof/>
            <w:webHidden/>
          </w:rPr>
          <w:fldChar w:fldCharType="separate"/>
        </w:r>
        <w:r w:rsidR="0010296A">
          <w:rPr>
            <w:rFonts w:asciiTheme="majorHAnsi" w:hAnsiTheme="majorHAnsi"/>
            <w:noProof/>
            <w:webHidden/>
          </w:rPr>
          <w:t>3</w:t>
        </w:r>
        <w:r w:rsidR="00C635FA" w:rsidRPr="00AA0A2C">
          <w:rPr>
            <w:rFonts w:asciiTheme="majorHAnsi" w:hAnsiTheme="majorHAnsi"/>
            <w:noProof/>
            <w:webHidden/>
          </w:rPr>
          <w:fldChar w:fldCharType="end"/>
        </w:r>
      </w:hyperlink>
    </w:p>
    <w:p w:rsidR="00C635FA" w:rsidRPr="00AA0A2C" w:rsidRDefault="0074463C">
      <w:pPr>
        <w:pStyle w:val="TDC2"/>
        <w:tabs>
          <w:tab w:val="left" w:pos="1100"/>
          <w:tab w:val="right" w:leader="dot" w:pos="8261"/>
        </w:tabs>
        <w:rPr>
          <w:rFonts w:asciiTheme="majorHAnsi" w:eastAsiaTheme="minorEastAsia" w:hAnsiTheme="majorHAnsi" w:cstheme="minorBidi"/>
          <w:bCs w:val="0"/>
          <w:noProof/>
          <w:lang w:eastAsia="es-CO"/>
        </w:rPr>
      </w:pPr>
      <w:hyperlink w:anchor="_Toc445192920" w:history="1">
        <w:r w:rsidR="00C635FA" w:rsidRPr="00AA0A2C">
          <w:rPr>
            <w:rStyle w:val="Hipervnculo"/>
            <w:rFonts w:asciiTheme="majorHAnsi" w:hAnsiTheme="majorHAnsi"/>
            <w:noProof/>
          </w:rPr>
          <w:t>10.2.</w:t>
        </w:r>
        <w:r w:rsidR="00C635FA" w:rsidRPr="00AA0A2C">
          <w:rPr>
            <w:rFonts w:asciiTheme="majorHAnsi" w:eastAsiaTheme="minorEastAsia" w:hAnsiTheme="majorHAnsi" w:cstheme="minorBidi"/>
            <w:bCs w:val="0"/>
            <w:noProof/>
            <w:lang w:eastAsia="es-CO"/>
          </w:rPr>
          <w:tab/>
        </w:r>
        <w:r w:rsidR="00C635FA" w:rsidRPr="00AA0A2C">
          <w:rPr>
            <w:rStyle w:val="Hipervnculo"/>
            <w:rFonts w:asciiTheme="majorHAnsi" w:hAnsiTheme="majorHAnsi"/>
            <w:noProof/>
          </w:rPr>
          <w:t>VALORACIÓN ECONÓMICA DE LOS IMPACTOS AMBIENTALES</w:t>
        </w:r>
        <w:r w:rsidR="00C635FA" w:rsidRPr="00AA0A2C">
          <w:rPr>
            <w:rFonts w:asciiTheme="majorHAnsi" w:hAnsiTheme="majorHAnsi"/>
            <w:noProof/>
            <w:webHidden/>
          </w:rPr>
          <w:tab/>
        </w:r>
        <w:r w:rsidR="00C635FA" w:rsidRPr="00AA0A2C">
          <w:rPr>
            <w:rFonts w:asciiTheme="majorHAnsi" w:hAnsiTheme="majorHAnsi"/>
            <w:noProof/>
            <w:webHidden/>
          </w:rPr>
          <w:fldChar w:fldCharType="begin"/>
        </w:r>
        <w:r w:rsidR="00C635FA" w:rsidRPr="00AA0A2C">
          <w:rPr>
            <w:rFonts w:asciiTheme="majorHAnsi" w:hAnsiTheme="majorHAnsi"/>
            <w:noProof/>
            <w:webHidden/>
          </w:rPr>
          <w:instrText xml:space="preserve"> PAGEREF _Toc445192920 \h </w:instrText>
        </w:r>
        <w:r w:rsidR="00C635FA" w:rsidRPr="00AA0A2C">
          <w:rPr>
            <w:rFonts w:asciiTheme="majorHAnsi" w:hAnsiTheme="majorHAnsi"/>
            <w:noProof/>
            <w:webHidden/>
          </w:rPr>
        </w:r>
        <w:r w:rsidR="00C635FA" w:rsidRPr="00AA0A2C">
          <w:rPr>
            <w:rFonts w:asciiTheme="majorHAnsi" w:hAnsiTheme="majorHAnsi"/>
            <w:noProof/>
            <w:webHidden/>
          </w:rPr>
          <w:fldChar w:fldCharType="separate"/>
        </w:r>
        <w:r w:rsidR="0010296A">
          <w:rPr>
            <w:rFonts w:asciiTheme="majorHAnsi" w:hAnsiTheme="majorHAnsi"/>
            <w:noProof/>
            <w:webHidden/>
          </w:rPr>
          <w:t>8</w:t>
        </w:r>
        <w:r w:rsidR="00C635FA" w:rsidRPr="00AA0A2C">
          <w:rPr>
            <w:rFonts w:asciiTheme="majorHAnsi" w:hAnsiTheme="majorHAnsi"/>
            <w:noProof/>
            <w:webHidden/>
          </w:rPr>
          <w:fldChar w:fldCharType="end"/>
        </w:r>
      </w:hyperlink>
    </w:p>
    <w:p w:rsidR="00C635FA" w:rsidRPr="00AA0A2C" w:rsidRDefault="0074463C">
      <w:pPr>
        <w:pStyle w:val="TDC3"/>
        <w:tabs>
          <w:tab w:val="left" w:pos="1320"/>
          <w:tab w:val="right" w:leader="dot" w:pos="8261"/>
        </w:tabs>
        <w:rPr>
          <w:rFonts w:asciiTheme="majorHAnsi" w:eastAsiaTheme="minorEastAsia" w:hAnsiTheme="majorHAnsi" w:cstheme="minorBidi"/>
          <w:noProof/>
          <w:szCs w:val="22"/>
          <w:lang w:eastAsia="es-CO"/>
        </w:rPr>
      </w:pPr>
      <w:hyperlink w:anchor="_Toc445192921" w:history="1">
        <w:r w:rsidR="00C635FA" w:rsidRPr="00AA0A2C">
          <w:rPr>
            <w:rStyle w:val="Hipervnculo"/>
            <w:rFonts w:asciiTheme="majorHAnsi" w:hAnsiTheme="majorHAnsi"/>
            <w:noProof/>
          </w:rPr>
          <w:t>10.2.1.</w:t>
        </w:r>
        <w:r w:rsidR="00C635FA" w:rsidRPr="00AA0A2C">
          <w:rPr>
            <w:rFonts w:asciiTheme="majorHAnsi" w:eastAsiaTheme="minorEastAsia" w:hAnsiTheme="majorHAnsi" w:cstheme="minorBidi"/>
            <w:noProof/>
            <w:szCs w:val="22"/>
            <w:lang w:eastAsia="es-CO"/>
          </w:rPr>
          <w:tab/>
        </w:r>
        <w:r w:rsidR="00C635FA" w:rsidRPr="00AA0A2C">
          <w:rPr>
            <w:rStyle w:val="Hipervnculo"/>
            <w:rFonts w:asciiTheme="majorHAnsi" w:hAnsiTheme="majorHAnsi"/>
            <w:noProof/>
          </w:rPr>
          <w:t>Marco Teórico de la Valoración Económica de Impactos Ambientales</w:t>
        </w:r>
        <w:r w:rsidR="00C635FA" w:rsidRPr="00AA0A2C">
          <w:rPr>
            <w:rFonts w:asciiTheme="majorHAnsi" w:hAnsiTheme="majorHAnsi"/>
            <w:noProof/>
            <w:webHidden/>
          </w:rPr>
          <w:tab/>
        </w:r>
        <w:r w:rsidR="00C635FA" w:rsidRPr="00AA0A2C">
          <w:rPr>
            <w:rFonts w:asciiTheme="majorHAnsi" w:hAnsiTheme="majorHAnsi"/>
            <w:noProof/>
            <w:webHidden/>
          </w:rPr>
          <w:fldChar w:fldCharType="begin"/>
        </w:r>
        <w:r w:rsidR="00C635FA" w:rsidRPr="00AA0A2C">
          <w:rPr>
            <w:rFonts w:asciiTheme="majorHAnsi" w:hAnsiTheme="majorHAnsi"/>
            <w:noProof/>
            <w:webHidden/>
          </w:rPr>
          <w:instrText xml:space="preserve"> PAGEREF _Toc445192921 \h </w:instrText>
        </w:r>
        <w:r w:rsidR="00C635FA" w:rsidRPr="00AA0A2C">
          <w:rPr>
            <w:rFonts w:asciiTheme="majorHAnsi" w:hAnsiTheme="majorHAnsi"/>
            <w:noProof/>
            <w:webHidden/>
          </w:rPr>
        </w:r>
        <w:r w:rsidR="00C635FA" w:rsidRPr="00AA0A2C">
          <w:rPr>
            <w:rFonts w:asciiTheme="majorHAnsi" w:hAnsiTheme="majorHAnsi"/>
            <w:noProof/>
            <w:webHidden/>
          </w:rPr>
          <w:fldChar w:fldCharType="separate"/>
        </w:r>
        <w:r w:rsidR="0010296A">
          <w:rPr>
            <w:rFonts w:asciiTheme="majorHAnsi" w:hAnsiTheme="majorHAnsi"/>
            <w:noProof/>
            <w:webHidden/>
          </w:rPr>
          <w:t>8</w:t>
        </w:r>
        <w:r w:rsidR="00C635FA" w:rsidRPr="00AA0A2C">
          <w:rPr>
            <w:rFonts w:asciiTheme="majorHAnsi" w:hAnsiTheme="majorHAnsi"/>
            <w:noProof/>
            <w:webHidden/>
          </w:rPr>
          <w:fldChar w:fldCharType="end"/>
        </w:r>
      </w:hyperlink>
    </w:p>
    <w:p w:rsidR="00C635FA" w:rsidRPr="00AA0A2C" w:rsidRDefault="0074463C">
      <w:pPr>
        <w:pStyle w:val="TDC3"/>
        <w:tabs>
          <w:tab w:val="left" w:pos="1320"/>
          <w:tab w:val="right" w:leader="dot" w:pos="8261"/>
        </w:tabs>
        <w:rPr>
          <w:rFonts w:asciiTheme="majorHAnsi" w:eastAsiaTheme="minorEastAsia" w:hAnsiTheme="majorHAnsi" w:cstheme="minorBidi"/>
          <w:noProof/>
          <w:szCs w:val="22"/>
          <w:lang w:eastAsia="es-CO"/>
        </w:rPr>
      </w:pPr>
      <w:hyperlink w:anchor="_Toc445192922" w:history="1">
        <w:r w:rsidR="00C635FA" w:rsidRPr="00AA0A2C">
          <w:rPr>
            <w:rStyle w:val="Hipervnculo"/>
            <w:rFonts w:asciiTheme="majorHAnsi" w:hAnsiTheme="majorHAnsi"/>
            <w:noProof/>
          </w:rPr>
          <w:t>10.2.2.</w:t>
        </w:r>
        <w:r w:rsidR="00C635FA" w:rsidRPr="00AA0A2C">
          <w:rPr>
            <w:rFonts w:asciiTheme="majorHAnsi" w:eastAsiaTheme="minorEastAsia" w:hAnsiTheme="majorHAnsi" w:cstheme="minorBidi"/>
            <w:noProof/>
            <w:szCs w:val="22"/>
            <w:lang w:eastAsia="es-CO"/>
          </w:rPr>
          <w:tab/>
        </w:r>
        <w:r w:rsidR="00C635FA" w:rsidRPr="00AA0A2C">
          <w:rPr>
            <w:rStyle w:val="Hipervnculo"/>
            <w:rFonts w:asciiTheme="majorHAnsi" w:hAnsiTheme="majorHAnsi"/>
            <w:noProof/>
          </w:rPr>
          <w:t>Métodos de Valoración Económica de Impactos Ambientales Aplicados al Proyecto</w:t>
        </w:r>
        <w:r w:rsidR="00C635FA" w:rsidRPr="00AA0A2C">
          <w:rPr>
            <w:rFonts w:asciiTheme="majorHAnsi" w:hAnsiTheme="majorHAnsi"/>
            <w:noProof/>
            <w:webHidden/>
          </w:rPr>
          <w:tab/>
        </w:r>
        <w:r w:rsidR="00C635FA" w:rsidRPr="00AA0A2C">
          <w:rPr>
            <w:rFonts w:asciiTheme="majorHAnsi" w:hAnsiTheme="majorHAnsi"/>
            <w:noProof/>
            <w:webHidden/>
          </w:rPr>
          <w:fldChar w:fldCharType="begin"/>
        </w:r>
        <w:r w:rsidR="00C635FA" w:rsidRPr="00AA0A2C">
          <w:rPr>
            <w:rFonts w:asciiTheme="majorHAnsi" w:hAnsiTheme="majorHAnsi"/>
            <w:noProof/>
            <w:webHidden/>
          </w:rPr>
          <w:instrText xml:space="preserve"> PAGEREF _Toc445192922 \h </w:instrText>
        </w:r>
        <w:r w:rsidR="00C635FA" w:rsidRPr="00AA0A2C">
          <w:rPr>
            <w:rFonts w:asciiTheme="majorHAnsi" w:hAnsiTheme="majorHAnsi"/>
            <w:noProof/>
            <w:webHidden/>
          </w:rPr>
        </w:r>
        <w:r w:rsidR="00C635FA" w:rsidRPr="00AA0A2C">
          <w:rPr>
            <w:rFonts w:asciiTheme="majorHAnsi" w:hAnsiTheme="majorHAnsi"/>
            <w:noProof/>
            <w:webHidden/>
          </w:rPr>
          <w:fldChar w:fldCharType="separate"/>
        </w:r>
        <w:r w:rsidR="0010296A">
          <w:rPr>
            <w:rFonts w:asciiTheme="majorHAnsi" w:hAnsiTheme="majorHAnsi"/>
            <w:noProof/>
            <w:webHidden/>
          </w:rPr>
          <w:t>13</w:t>
        </w:r>
        <w:r w:rsidR="00C635FA" w:rsidRPr="00AA0A2C">
          <w:rPr>
            <w:rFonts w:asciiTheme="majorHAnsi" w:hAnsiTheme="majorHAnsi"/>
            <w:noProof/>
            <w:webHidden/>
          </w:rPr>
          <w:fldChar w:fldCharType="end"/>
        </w:r>
      </w:hyperlink>
    </w:p>
    <w:p w:rsidR="00C635FA" w:rsidRPr="00AA0A2C" w:rsidRDefault="0074463C">
      <w:pPr>
        <w:pStyle w:val="TDC3"/>
        <w:tabs>
          <w:tab w:val="left" w:pos="1320"/>
          <w:tab w:val="right" w:leader="dot" w:pos="8261"/>
        </w:tabs>
        <w:rPr>
          <w:rFonts w:asciiTheme="majorHAnsi" w:eastAsiaTheme="minorEastAsia" w:hAnsiTheme="majorHAnsi" w:cstheme="minorBidi"/>
          <w:noProof/>
          <w:szCs w:val="22"/>
          <w:lang w:eastAsia="es-CO"/>
        </w:rPr>
      </w:pPr>
      <w:hyperlink w:anchor="_Toc445192923" w:history="1">
        <w:r w:rsidR="00C635FA" w:rsidRPr="00AA0A2C">
          <w:rPr>
            <w:rStyle w:val="Hipervnculo"/>
            <w:rFonts w:asciiTheme="majorHAnsi" w:hAnsiTheme="majorHAnsi"/>
            <w:noProof/>
          </w:rPr>
          <w:t>10.2.3.</w:t>
        </w:r>
        <w:r w:rsidR="00C635FA" w:rsidRPr="00AA0A2C">
          <w:rPr>
            <w:rFonts w:asciiTheme="majorHAnsi" w:eastAsiaTheme="minorEastAsia" w:hAnsiTheme="majorHAnsi" w:cstheme="minorBidi"/>
            <w:noProof/>
            <w:szCs w:val="22"/>
            <w:lang w:eastAsia="es-CO"/>
          </w:rPr>
          <w:tab/>
        </w:r>
        <w:r w:rsidR="00C635FA" w:rsidRPr="00AA0A2C">
          <w:rPr>
            <w:rStyle w:val="Hipervnculo"/>
            <w:rFonts w:asciiTheme="majorHAnsi" w:hAnsiTheme="majorHAnsi"/>
            <w:noProof/>
          </w:rPr>
          <w:t>Métodos Basados en Preferencias Reveladas</w:t>
        </w:r>
        <w:r w:rsidR="00C635FA" w:rsidRPr="00AA0A2C">
          <w:rPr>
            <w:rFonts w:asciiTheme="majorHAnsi" w:hAnsiTheme="majorHAnsi"/>
            <w:noProof/>
            <w:webHidden/>
          </w:rPr>
          <w:tab/>
        </w:r>
        <w:r w:rsidR="00C635FA" w:rsidRPr="00AA0A2C">
          <w:rPr>
            <w:rFonts w:asciiTheme="majorHAnsi" w:hAnsiTheme="majorHAnsi"/>
            <w:noProof/>
            <w:webHidden/>
          </w:rPr>
          <w:fldChar w:fldCharType="begin"/>
        </w:r>
        <w:r w:rsidR="00C635FA" w:rsidRPr="00AA0A2C">
          <w:rPr>
            <w:rFonts w:asciiTheme="majorHAnsi" w:hAnsiTheme="majorHAnsi"/>
            <w:noProof/>
            <w:webHidden/>
          </w:rPr>
          <w:instrText xml:space="preserve"> PAGEREF _Toc445192923 \h </w:instrText>
        </w:r>
        <w:r w:rsidR="00C635FA" w:rsidRPr="00AA0A2C">
          <w:rPr>
            <w:rFonts w:asciiTheme="majorHAnsi" w:hAnsiTheme="majorHAnsi"/>
            <w:noProof/>
            <w:webHidden/>
          </w:rPr>
        </w:r>
        <w:r w:rsidR="00C635FA" w:rsidRPr="00AA0A2C">
          <w:rPr>
            <w:rFonts w:asciiTheme="majorHAnsi" w:hAnsiTheme="majorHAnsi"/>
            <w:noProof/>
            <w:webHidden/>
          </w:rPr>
          <w:fldChar w:fldCharType="separate"/>
        </w:r>
        <w:r w:rsidR="0010296A">
          <w:rPr>
            <w:rFonts w:asciiTheme="majorHAnsi" w:hAnsiTheme="majorHAnsi"/>
            <w:noProof/>
            <w:webHidden/>
          </w:rPr>
          <w:t>24</w:t>
        </w:r>
        <w:r w:rsidR="00C635FA" w:rsidRPr="00AA0A2C">
          <w:rPr>
            <w:rFonts w:asciiTheme="majorHAnsi" w:hAnsiTheme="majorHAnsi"/>
            <w:noProof/>
            <w:webHidden/>
          </w:rPr>
          <w:fldChar w:fldCharType="end"/>
        </w:r>
      </w:hyperlink>
    </w:p>
    <w:p w:rsidR="00C635FA" w:rsidRPr="00AA0A2C" w:rsidRDefault="0074463C">
      <w:pPr>
        <w:pStyle w:val="TDC3"/>
        <w:tabs>
          <w:tab w:val="left" w:pos="1320"/>
          <w:tab w:val="right" w:leader="dot" w:pos="8261"/>
        </w:tabs>
        <w:rPr>
          <w:rFonts w:asciiTheme="majorHAnsi" w:eastAsiaTheme="minorEastAsia" w:hAnsiTheme="majorHAnsi" w:cstheme="minorBidi"/>
          <w:noProof/>
          <w:szCs w:val="22"/>
          <w:lang w:eastAsia="es-CO"/>
        </w:rPr>
      </w:pPr>
      <w:hyperlink w:anchor="_Toc445192924" w:history="1">
        <w:r w:rsidR="00C635FA" w:rsidRPr="00AA0A2C">
          <w:rPr>
            <w:rStyle w:val="Hipervnculo"/>
            <w:rFonts w:asciiTheme="majorHAnsi" w:hAnsiTheme="majorHAnsi"/>
            <w:noProof/>
          </w:rPr>
          <w:t>10.2.4.</w:t>
        </w:r>
        <w:r w:rsidR="00C635FA" w:rsidRPr="00AA0A2C">
          <w:rPr>
            <w:rFonts w:asciiTheme="majorHAnsi" w:eastAsiaTheme="minorEastAsia" w:hAnsiTheme="majorHAnsi" w:cstheme="minorBidi"/>
            <w:noProof/>
            <w:szCs w:val="22"/>
            <w:lang w:eastAsia="es-CO"/>
          </w:rPr>
          <w:tab/>
        </w:r>
        <w:r w:rsidR="00C635FA" w:rsidRPr="00AA0A2C">
          <w:rPr>
            <w:rStyle w:val="Hipervnculo"/>
            <w:rFonts w:asciiTheme="majorHAnsi" w:hAnsiTheme="majorHAnsi"/>
            <w:noProof/>
          </w:rPr>
          <w:t>Métodos Basados en Preferencias Declaradas</w:t>
        </w:r>
        <w:r w:rsidR="00C635FA" w:rsidRPr="00AA0A2C">
          <w:rPr>
            <w:rFonts w:asciiTheme="majorHAnsi" w:hAnsiTheme="majorHAnsi"/>
            <w:noProof/>
            <w:webHidden/>
          </w:rPr>
          <w:tab/>
        </w:r>
        <w:r w:rsidR="00C635FA" w:rsidRPr="00AA0A2C">
          <w:rPr>
            <w:rFonts w:asciiTheme="majorHAnsi" w:hAnsiTheme="majorHAnsi"/>
            <w:noProof/>
            <w:webHidden/>
          </w:rPr>
          <w:fldChar w:fldCharType="begin"/>
        </w:r>
        <w:r w:rsidR="00C635FA" w:rsidRPr="00AA0A2C">
          <w:rPr>
            <w:rFonts w:asciiTheme="majorHAnsi" w:hAnsiTheme="majorHAnsi"/>
            <w:noProof/>
            <w:webHidden/>
          </w:rPr>
          <w:instrText xml:space="preserve"> PAGEREF _Toc445192924 \h </w:instrText>
        </w:r>
        <w:r w:rsidR="00C635FA" w:rsidRPr="00AA0A2C">
          <w:rPr>
            <w:rFonts w:asciiTheme="majorHAnsi" w:hAnsiTheme="majorHAnsi"/>
            <w:noProof/>
            <w:webHidden/>
          </w:rPr>
        </w:r>
        <w:r w:rsidR="00C635FA" w:rsidRPr="00AA0A2C">
          <w:rPr>
            <w:rFonts w:asciiTheme="majorHAnsi" w:hAnsiTheme="majorHAnsi"/>
            <w:noProof/>
            <w:webHidden/>
          </w:rPr>
          <w:fldChar w:fldCharType="separate"/>
        </w:r>
        <w:r w:rsidR="0010296A">
          <w:rPr>
            <w:rFonts w:asciiTheme="majorHAnsi" w:hAnsiTheme="majorHAnsi"/>
            <w:noProof/>
            <w:webHidden/>
          </w:rPr>
          <w:t>25</w:t>
        </w:r>
        <w:r w:rsidR="00C635FA" w:rsidRPr="00AA0A2C">
          <w:rPr>
            <w:rFonts w:asciiTheme="majorHAnsi" w:hAnsiTheme="majorHAnsi"/>
            <w:noProof/>
            <w:webHidden/>
          </w:rPr>
          <w:fldChar w:fldCharType="end"/>
        </w:r>
      </w:hyperlink>
    </w:p>
    <w:p w:rsidR="00C635FA" w:rsidRPr="00AA0A2C" w:rsidRDefault="0074463C">
      <w:pPr>
        <w:pStyle w:val="TDC3"/>
        <w:tabs>
          <w:tab w:val="left" w:pos="1320"/>
          <w:tab w:val="right" w:leader="dot" w:pos="8261"/>
        </w:tabs>
        <w:rPr>
          <w:rFonts w:asciiTheme="majorHAnsi" w:eastAsiaTheme="minorEastAsia" w:hAnsiTheme="majorHAnsi" w:cstheme="minorBidi"/>
          <w:noProof/>
          <w:szCs w:val="22"/>
          <w:lang w:eastAsia="es-CO"/>
        </w:rPr>
      </w:pPr>
      <w:hyperlink w:anchor="_Toc445192925" w:history="1">
        <w:r w:rsidR="00C635FA" w:rsidRPr="00AA0A2C">
          <w:rPr>
            <w:rStyle w:val="Hipervnculo"/>
            <w:rFonts w:asciiTheme="majorHAnsi" w:hAnsiTheme="majorHAnsi"/>
            <w:noProof/>
          </w:rPr>
          <w:t>10.2.5.</w:t>
        </w:r>
        <w:r w:rsidR="00C635FA" w:rsidRPr="00AA0A2C">
          <w:rPr>
            <w:rFonts w:asciiTheme="majorHAnsi" w:eastAsiaTheme="minorEastAsia" w:hAnsiTheme="majorHAnsi" w:cstheme="minorBidi"/>
            <w:noProof/>
            <w:szCs w:val="22"/>
            <w:lang w:eastAsia="es-CO"/>
          </w:rPr>
          <w:tab/>
        </w:r>
        <w:r w:rsidR="00C635FA" w:rsidRPr="00AA0A2C">
          <w:rPr>
            <w:rStyle w:val="Hipervnculo"/>
            <w:rFonts w:asciiTheme="majorHAnsi" w:hAnsiTheme="majorHAnsi"/>
            <w:noProof/>
          </w:rPr>
          <w:t>Método de Transferencia de Beneficios</w:t>
        </w:r>
        <w:r w:rsidR="00C635FA" w:rsidRPr="00AA0A2C">
          <w:rPr>
            <w:rFonts w:asciiTheme="majorHAnsi" w:hAnsiTheme="majorHAnsi"/>
            <w:noProof/>
            <w:webHidden/>
          </w:rPr>
          <w:tab/>
        </w:r>
        <w:r w:rsidR="00C635FA" w:rsidRPr="00AA0A2C">
          <w:rPr>
            <w:rFonts w:asciiTheme="majorHAnsi" w:hAnsiTheme="majorHAnsi"/>
            <w:noProof/>
            <w:webHidden/>
          </w:rPr>
          <w:fldChar w:fldCharType="begin"/>
        </w:r>
        <w:r w:rsidR="00C635FA" w:rsidRPr="00AA0A2C">
          <w:rPr>
            <w:rFonts w:asciiTheme="majorHAnsi" w:hAnsiTheme="majorHAnsi"/>
            <w:noProof/>
            <w:webHidden/>
          </w:rPr>
          <w:instrText xml:space="preserve"> PAGEREF _Toc445192925 \h </w:instrText>
        </w:r>
        <w:r w:rsidR="00C635FA" w:rsidRPr="00AA0A2C">
          <w:rPr>
            <w:rFonts w:asciiTheme="majorHAnsi" w:hAnsiTheme="majorHAnsi"/>
            <w:noProof/>
            <w:webHidden/>
          </w:rPr>
        </w:r>
        <w:r w:rsidR="00C635FA" w:rsidRPr="00AA0A2C">
          <w:rPr>
            <w:rFonts w:asciiTheme="majorHAnsi" w:hAnsiTheme="majorHAnsi"/>
            <w:noProof/>
            <w:webHidden/>
          </w:rPr>
          <w:fldChar w:fldCharType="separate"/>
        </w:r>
        <w:r w:rsidR="0010296A">
          <w:rPr>
            <w:rFonts w:asciiTheme="majorHAnsi" w:hAnsiTheme="majorHAnsi"/>
            <w:noProof/>
            <w:webHidden/>
          </w:rPr>
          <w:t>27</w:t>
        </w:r>
        <w:r w:rsidR="00C635FA" w:rsidRPr="00AA0A2C">
          <w:rPr>
            <w:rFonts w:asciiTheme="majorHAnsi" w:hAnsiTheme="majorHAnsi"/>
            <w:noProof/>
            <w:webHidden/>
          </w:rPr>
          <w:fldChar w:fldCharType="end"/>
        </w:r>
      </w:hyperlink>
    </w:p>
    <w:p w:rsidR="00C635FA" w:rsidRPr="00AA0A2C" w:rsidRDefault="0074463C">
      <w:pPr>
        <w:pStyle w:val="TDC2"/>
        <w:tabs>
          <w:tab w:val="left" w:pos="1100"/>
          <w:tab w:val="right" w:leader="dot" w:pos="8261"/>
        </w:tabs>
        <w:rPr>
          <w:rFonts w:asciiTheme="majorHAnsi" w:eastAsiaTheme="minorEastAsia" w:hAnsiTheme="majorHAnsi" w:cstheme="minorBidi"/>
          <w:bCs w:val="0"/>
          <w:noProof/>
          <w:lang w:eastAsia="es-CO"/>
        </w:rPr>
      </w:pPr>
      <w:hyperlink w:anchor="_Toc445192926" w:history="1">
        <w:r w:rsidR="00C635FA" w:rsidRPr="00AA0A2C">
          <w:rPr>
            <w:rStyle w:val="Hipervnculo"/>
            <w:rFonts w:asciiTheme="majorHAnsi" w:hAnsiTheme="majorHAnsi"/>
            <w:noProof/>
          </w:rPr>
          <w:t>10.3.</w:t>
        </w:r>
        <w:r w:rsidR="00C635FA" w:rsidRPr="00AA0A2C">
          <w:rPr>
            <w:rFonts w:asciiTheme="majorHAnsi" w:eastAsiaTheme="minorEastAsia" w:hAnsiTheme="majorHAnsi" w:cstheme="minorBidi"/>
            <w:bCs w:val="0"/>
            <w:noProof/>
            <w:lang w:eastAsia="es-CO"/>
          </w:rPr>
          <w:tab/>
        </w:r>
        <w:r w:rsidR="00C635FA" w:rsidRPr="00AA0A2C">
          <w:rPr>
            <w:rStyle w:val="Hipervnculo"/>
            <w:rFonts w:asciiTheme="majorHAnsi" w:hAnsiTheme="majorHAnsi"/>
            <w:noProof/>
          </w:rPr>
          <w:t>VALORACIÓN DE LOS IMPACTOS POSITIVOS O BENEFICIOS AMBIENTALES</w:t>
        </w:r>
        <w:r w:rsidR="00C635FA" w:rsidRPr="00AA0A2C">
          <w:rPr>
            <w:rFonts w:asciiTheme="majorHAnsi" w:hAnsiTheme="majorHAnsi"/>
            <w:noProof/>
            <w:webHidden/>
          </w:rPr>
          <w:tab/>
        </w:r>
        <w:r w:rsidR="00C635FA" w:rsidRPr="00AA0A2C">
          <w:rPr>
            <w:rFonts w:asciiTheme="majorHAnsi" w:hAnsiTheme="majorHAnsi"/>
            <w:noProof/>
            <w:webHidden/>
          </w:rPr>
          <w:fldChar w:fldCharType="begin"/>
        </w:r>
        <w:r w:rsidR="00C635FA" w:rsidRPr="00AA0A2C">
          <w:rPr>
            <w:rFonts w:asciiTheme="majorHAnsi" w:hAnsiTheme="majorHAnsi"/>
            <w:noProof/>
            <w:webHidden/>
          </w:rPr>
          <w:instrText xml:space="preserve"> PAGEREF _Toc445192926 \h </w:instrText>
        </w:r>
        <w:r w:rsidR="00C635FA" w:rsidRPr="00AA0A2C">
          <w:rPr>
            <w:rFonts w:asciiTheme="majorHAnsi" w:hAnsiTheme="majorHAnsi"/>
            <w:noProof/>
            <w:webHidden/>
          </w:rPr>
        </w:r>
        <w:r w:rsidR="00C635FA" w:rsidRPr="00AA0A2C">
          <w:rPr>
            <w:rFonts w:asciiTheme="majorHAnsi" w:hAnsiTheme="majorHAnsi"/>
            <w:noProof/>
            <w:webHidden/>
          </w:rPr>
          <w:fldChar w:fldCharType="separate"/>
        </w:r>
        <w:r w:rsidR="0010296A">
          <w:rPr>
            <w:rFonts w:asciiTheme="majorHAnsi" w:hAnsiTheme="majorHAnsi"/>
            <w:noProof/>
            <w:webHidden/>
          </w:rPr>
          <w:t>30</w:t>
        </w:r>
        <w:r w:rsidR="00C635FA" w:rsidRPr="00AA0A2C">
          <w:rPr>
            <w:rFonts w:asciiTheme="majorHAnsi" w:hAnsiTheme="majorHAnsi"/>
            <w:noProof/>
            <w:webHidden/>
          </w:rPr>
          <w:fldChar w:fldCharType="end"/>
        </w:r>
      </w:hyperlink>
    </w:p>
    <w:p w:rsidR="00C635FA" w:rsidRPr="00AA0A2C" w:rsidRDefault="0074463C">
      <w:pPr>
        <w:pStyle w:val="TDC3"/>
        <w:tabs>
          <w:tab w:val="left" w:pos="1320"/>
          <w:tab w:val="right" w:leader="dot" w:pos="8261"/>
        </w:tabs>
        <w:rPr>
          <w:rFonts w:asciiTheme="majorHAnsi" w:eastAsiaTheme="minorEastAsia" w:hAnsiTheme="majorHAnsi" w:cstheme="minorBidi"/>
          <w:noProof/>
          <w:szCs w:val="22"/>
          <w:lang w:eastAsia="es-CO"/>
        </w:rPr>
      </w:pPr>
      <w:hyperlink w:anchor="_Toc445192927" w:history="1">
        <w:r w:rsidR="00C635FA" w:rsidRPr="00AA0A2C">
          <w:rPr>
            <w:rStyle w:val="Hipervnculo"/>
            <w:rFonts w:asciiTheme="majorHAnsi" w:hAnsiTheme="majorHAnsi"/>
            <w:noProof/>
          </w:rPr>
          <w:t>10.3.1.</w:t>
        </w:r>
        <w:r w:rsidR="00C635FA" w:rsidRPr="00AA0A2C">
          <w:rPr>
            <w:rFonts w:asciiTheme="majorHAnsi" w:eastAsiaTheme="minorEastAsia" w:hAnsiTheme="majorHAnsi" w:cstheme="minorBidi"/>
            <w:noProof/>
            <w:szCs w:val="22"/>
            <w:lang w:eastAsia="es-CO"/>
          </w:rPr>
          <w:tab/>
        </w:r>
        <w:r w:rsidR="00C635FA" w:rsidRPr="00AA0A2C">
          <w:rPr>
            <w:rStyle w:val="Hipervnculo"/>
            <w:rFonts w:asciiTheme="majorHAnsi" w:hAnsiTheme="majorHAnsi"/>
            <w:noProof/>
          </w:rPr>
          <w:t>Función Dosis-Respuesta</w:t>
        </w:r>
        <w:r w:rsidR="00C635FA" w:rsidRPr="00AA0A2C">
          <w:rPr>
            <w:rFonts w:asciiTheme="majorHAnsi" w:hAnsiTheme="majorHAnsi"/>
            <w:noProof/>
            <w:webHidden/>
          </w:rPr>
          <w:tab/>
        </w:r>
        <w:r w:rsidR="00C635FA" w:rsidRPr="00AA0A2C">
          <w:rPr>
            <w:rFonts w:asciiTheme="majorHAnsi" w:hAnsiTheme="majorHAnsi"/>
            <w:noProof/>
            <w:webHidden/>
          </w:rPr>
          <w:fldChar w:fldCharType="begin"/>
        </w:r>
        <w:r w:rsidR="00C635FA" w:rsidRPr="00AA0A2C">
          <w:rPr>
            <w:rFonts w:asciiTheme="majorHAnsi" w:hAnsiTheme="majorHAnsi"/>
            <w:noProof/>
            <w:webHidden/>
          </w:rPr>
          <w:instrText xml:space="preserve"> PAGEREF _Toc445192927 \h </w:instrText>
        </w:r>
        <w:r w:rsidR="00C635FA" w:rsidRPr="00AA0A2C">
          <w:rPr>
            <w:rFonts w:asciiTheme="majorHAnsi" w:hAnsiTheme="majorHAnsi"/>
            <w:noProof/>
            <w:webHidden/>
          </w:rPr>
        </w:r>
        <w:r w:rsidR="00C635FA" w:rsidRPr="00AA0A2C">
          <w:rPr>
            <w:rFonts w:asciiTheme="majorHAnsi" w:hAnsiTheme="majorHAnsi"/>
            <w:noProof/>
            <w:webHidden/>
          </w:rPr>
          <w:fldChar w:fldCharType="separate"/>
        </w:r>
        <w:r w:rsidR="0010296A">
          <w:rPr>
            <w:rFonts w:asciiTheme="majorHAnsi" w:hAnsiTheme="majorHAnsi"/>
            <w:noProof/>
            <w:webHidden/>
          </w:rPr>
          <w:t>31</w:t>
        </w:r>
        <w:r w:rsidR="00C635FA" w:rsidRPr="00AA0A2C">
          <w:rPr>
            <w:rFonts w:asciiTheme="majorHAnsi" w:hAnsiTheme="majorHAnsi"/>
            <w:noProof/>
            <w:webHidden/>
          </w:rPr>
          <w:fldChar w:fldCharType="end"/>
        </w:r>
      </w:hyperlink>
    </w:p>
    <w:p w:rsidR="00C635FA" w:rsidRPr="00AA0A2C" w:rsidRDefault="0074463C">
      <w:pPr>
        <w:pStyle w:val="TDC2"/>
        <w:tabs>
          <w:tab w:val="left" w:pos="1100"/>
          <w:tab w:val="right" w:leader="dot" w:pos="8261"/>
        </w:tabs>
        <w:rPr>
          <w:rFonts w:asciiTheme="majorHAnsi" w:eastAsiaTheme="minorEastAsia" w:hAnsiTheme="majorHAnsi" w:cstheme="minorBidi"/>
          <w:bCs w:val="0"/>
          <w:noProof/>
          <w:lang w:eastAsia="es-CO"/>
        </w:rPr>
      </w:pPr>
      <w:hyperlink w:anchor="_Toc445192928" w:history="1">
        <w:r w:rsidR="00C635FA" w:rsidRPr="00AA0A2C">
          <w:rPr>
            <w:rStyle w:val="Hipervnculo"/>
            <w:rFonts w:asciiTheme="majorHAnsi" w:hAnsiTheme="majorHAnsi"/>
            <w:noProof/>
          </w:rPr>
          <w:t>10.4.</w:t>
        </w:r>
        <w:r w:rsidR="00C635FA" w:rsidRPr="00AA0A2C">
          <w:rPr>
            <w:rFonts w:asciiTheme="majorHAnsi" w:eastAsiaTheme="minorEastAsia" w:hAnsiTheme="majorHAnsi" w:cstheme="minorBidi"/>
            <w:bCs w:val="0"/>
            <w:noProof/>
            <w:lang w:eastAsia="es-CO"/>
          </w:rPr>
          <w:tab/>
        </w:r>
        <w:r w:rsidR="00C635FA" w:rsidRPr="00AA0A2C">
          <w:rPr>
            <w:rStyle w:val="Hipervnculo"/>
            <w:rFonts w:asciiTheme="majorHAnsi" w:hAnsiTheme="majorHAnsi"/>
            <w:noProof/>
          </w:rPr>
          <w:t>ANÁLISIS COSTO BENEFICIO AMBIENTAL (ACB)</w:t>
        </w:r>
        <w:r w:rsidR="00C635FA" w:rsidRPr="00AA0A2C">
          <w:rPr>
            <w:rFonts w:asciiTheme="majorHAnsi" w:hAnsiTheme="majorHAnsi"/>
            <w:noProof/>
            <w:webHidden/>
          </w:rPr>
          <w:tab/>
        </w:r>
        <w:r w:rsidR="00C635FA" w:rsidRPr="00AA0A2C">
          <w:rPr>
            <w:rFonts w:asciiTheme="majorHAnsi" w:hAnsiTheme="majorHAnsi"/>
            <w:noProof/>
            <w:webHidden/>
          </w:rPr>
          <w:fldChar w:fldCharType="begin"/>
        </w:r>
        <w:r w:rsidR="00C635FA" w:rsidRPr="00AA0A2C">
          <w:rPr>
            <w:rFonts w:asciiTheme="majorHAnsi" w:hAnsiTheme="majorHAnsi"/>
            <w:noProof/>
            <w:webHidden/>
          </w:rPr>
          <w:instrText xml:space="preserve"> PAGEREF _Toc445192928 \h </w:instrText>
        </w:r>
        <w:r w:rsidR="00C635FA" w:rsidRPr="00AA0A2C">
          <w:rPr>
            <w:rFonts w:asciiTheme="majorHAnsi" w:hAnsiTheme="majorHAnsi"/>
            <w:noProof/>
            <w:webHidden/>
          </w:rPr>
        </w:r>
        <w:r w:rsidR="00C635FA" w:rsidRPr="00AA0A2C">
          <w:rPr>
            <w:rFonts w:asciiTheme="majorHAnsi" w:hAnsiTheme="majorHAnsi"/>
            <w:noProof/>
            <w:webHidden/>
          </w:rPr>
          <w:fldChar w:fldCharType="separate"/>
        </w:r>
        <w:r w:rsidR="0010296A">
          <w:rPr>
            <w:rFonts w:asciiTheme="majorHAnsi" w:hAnsiTheme="majorHAnsi"/>
            <w:noProof/>
            <w:webHidden/>
          </w:rPr>
          <w:t>31</w:t>
        </w:r>
        <w:r w:rsidR="00C635FA" w:rsidRPr="00AA0A2C">
          <w:rPr>
            <w:rFonts w:asciiTheme="majorHAnsi" w:hAnsiTheme="majorHAnsi"/>
            <w:noProof/>
            <w:webHidden/>
          </w:rPr>
          <w:fldChar w:fldCharType="end"/>
        </w:r>
      </w:hyperlink>
    </w:p>
    <w:p w:rsidR="00C635FA" w:rsidRPr="00AA0A2C" w:rsidRDefault="0074463C">
      <w:pPr>
        <w:pStyle w:val="TDC2"/>
        <w:tabs>
          <w:tab w:val="left" w:pos="1100"/>
          <w:tab w:val="right" w:leader="dot" w:pos="8261"/>
        </w:tabs>
        <w:rPr>
          <w:rFonts w:asciiTheme="majorHAnsi" w:eastAsiaTheme="minorEastAsia" w:hAnsiTheme="majorHAnsi" w:cstheme="minorBidi"/>
          <w:bCs w:val="0"/>
          <w:noProof/>
          <w:lang w:eastAsia="es-CO"/>
        </w:rPr>
      </w:pPr>
      <w:hyperlink w:anchor="_Toc445192929" w:history="1">
        <w:r w:rsidR="00C635FA" w:rsidRPr="00AA0A2C">
          <w:rPr>
            <w:rStyle w:val="Hipervnculo"/>
            <w:rFonts w:asciiTheme="majorHAnsi" w:hAnsiTheme="majorHAnsi"/>
            <w:noProof/>
          </w:rPr>
          <w:t>10.5.</w:t>
        </w:r>
        <w:r w:rsidR="00C635FA" w:rsidRPr="00AA0A2C">
          <w:rPr>
            <w:rFonts w:asciiTheme="majorHAnsi" w:eastAsiaTheme="minorEastAsia" w:hAnsiTheme="majorHAnsi" w:cstheme="minorBidi"/>
            <w:bCs w:val="0"/>
            <w:noProof/>
            <w:lang w:eastAsia="es-CO"/>
          </w:rPr>
          <w:tab/>
        </w:r>
        <w:r w:rsidR="00C635FA" w:rsidRPr="00AA0A2C">
          <w:rPr>
            <w:rStyle w:val="Hipervnculo"/>
            <w:rFonts w:asciiTheme="majorHAnsi" w:hAnsiTheme="majorHAnsi"/>
            <w:noProof/>
          </w:rPr>
          <w:t>EVALUACIÓN AMBIENTAL</w:t>
        </w:r>
        <w:r w:rsidR="00C635FA" w:rsidRPr="00AA0A2C">
          <w:rPr>
            <w:rFonts w:asciiTheme="majorHAnsi" w:hAnsiTheme="majorHAnsi"/>
            <w:noProof/>
            <w:webHidden/>
          </w:rPr>
          <w:tab/>
        </w:r>
        <w:r w:rsidR="00C635FA" w:rsidRPr="00AA0A2C">
          <w:rPr>
            <w:rFonts w:asciiTheme="majorHAnsi" w:hAnsiTheme="majorHAnsi"/>
            <w:noProof/>
            <w:webHidden/>
          </w:rPr>
          <w:fldChar w:fldCharType="begin"/>
        </w:r>
        <w:r w:rsidR="00C635FA" w:rsidRPr="00AA0A2C">
          <w:rPr>
            <w:rFonts w:asciiTheme="majorHAnsi" w:hAnsiTheme="majorHAnsi"/>
            <w:noProof/>
            <w:webHidden/>
          </w:rPr>
          <w:instrText xml:space="preserve"> PAGEREF _Toc445192929 \h </w:instrText>
        </w:r>
        <w:r w:rsidR="00C635FA" w:rsidRPr="00AA0A2C">
          <w:rPr>
            <w:rFonts w:asciiTheme="majorHAnsi" w:hAnsiTheme="majorHAnsi"/>
            <w:noProof/>
            <w:webHidden/>
          </w:rPr>
        </w:r>
        <w:r w:rsidR="00C635FA" w:rsidRPr="00AA0A2C">
          <w:rPr>
            <w:rFonts w:asciiTheme="majorHAnsi" w:hAnsiTheme="majorHAnsi"/>
            <w:noProof/>
            <w:webHidden/>
          </w:rPr>
          <w:fldChar w:fldCharType="separate"/>
        </w:r>
        <w:r w:rsidR="0010296A">
          <w:rPr>
            <w:rFonts w:asciiTheme="majorHAnsi" w:hAnsiTheme="majorHAnsi"/>
            <w:noProof/>
            <w:webHidden/>
          </w:rPr>
          <w:t>36</w:t>
        </w:r>
        <w:r w:rsidR="00C635FA" w:rsidRPr="00AA0A2C">
          <w:rPr>
            <w:rFonts w:asciiTheme="majorHAnsi" w:hAnsiTheme="majorHAnsi"/>
            <w:noProof/>
            <w:webHidden/>
          </w:rPr>
          <w:fldChar w:fldCharType="end"/>
        </w:r>
      </w:hyperlink>
    </w:p>
    <w:p w:rsidR="00C635FA" w:rsidRPr="00AA0A2C" w:rsidRDefault="0074463C">
      <w:pPr>
        <w:pStyle w:val="TDC3"/>
        <w:tabs>
          <w:tab w:val="left" w:pos="1320"/>
          <w:tab w:val="right" w:leader="dot" w:pos="8261"/>
        </w:tabs>
        <w:rPr>
          <w:rFonts w:asciiTheme="majorHAnsi" w:eastAsiaTheme="minorEastAsia" w:hAnsiTheme="majorHAnsi" w:cstheme="minorBidi"/>
          <w:noProof/>
          <w:szCs w:val="22"/>
          <w:lang w:eastAsia="es-CO"/>
        </w:rPr>
      </w:pPr>
      <w:hyperlink w:anchor="_Toc445192930" w:history="1">
        <w:r w:rsidR="00C635FA" w:rsidRPr="00AA0A2C">
          <w:rPr>
            <w:rStyle w:val="Hipervnculo"/>
            <w:rFonts w:asciiTheme="majorHAnsi" w:hAnsiTheme="majorHAnsi"/>
            <w:noProof/>
          </w:rPr>
          <w:t>10.5.1.</w:t>
        </w:r>
        <w:r w:rsidR="00C635FA" w:rsidRPr="00AA0A2C">
          <w:rPr>
            <w:rFonts w:asciiTheme="majorHAnsi" w:eastAsiaTheme="minorEastAsia" w:hAnsiTheme="majorHAnsi" w:cstheme="minorBidi"/>
            <w:noProof/>
            <w:szCs w:val="22"/>
            <w:lang w:eastAsia="es-CO"/>
          </w:rPr>
          <w:tab/>
        </w:r>
        <w:r w:rsidR="00C635FA" w:rsidRPr="00AA0A2C">
          <w:rPr>
            <w:rStyle w:val="Hipervnculo"/>
            <w:rFonts w:asciiTheme="majorHAnsi" w:hAnsiTheme="majorHAnsi"/>
            <w:noProof/>
          </w:rPr>
          <w:t>Impactos Ambientales del Proyecto</w:t>
        </w:r>
        <w:r w:rsidR="00C635FA" w:rsidRPr="00AA0A2C">
          <w:rPr>
            <w:rFonts w:asciiTheme="majorHAnsi" w:hAnsiTheme="majorHAnsi"/>
            <w:noProof/>
            <w:webHidden/>
          </w:rPr>
          <w:tab/>
        </w:r>
        <w:r w:rsidR="00C635FA" w:rsidRPr="00AA0A2C">
          <w:rPr>
            <w:rFonts w:asciiTheme="majorHAnsi" w:hAnsiTheme="majorHAnsi"/>
            <w:noProof/>
            <w:webHidden/>
          </w:rPr>
          <w:fldChar w:fldCharType="begin"/>
        </w:r>
        <w:r w:rsidR="00C635FA" w:rsidRPr="00AA0A2C">
          <w:rPr>
            <w:rFonts w:asciiTheme="majorHAnsi" w:hAnsiTheme="majorHAnsi"/>
            <w:noProof/>
            <w:webHidden/>
          </w:rPr>
          <w:instrText xml:space="preserve"> PAGEREF _Toc445192930 \h </w:instrText>
        </w:r>
        <w:r w:rsidR="00C635FA" w:rsidRPr="00AA0A2C">
          <w:rPr>
            <w:rFonts w:asciiTheme="majorHAnsi" w:hAnsiTheme="majorHAnsi"/>
            <w:noProof/>
            <w:webHidden/>
          </w:rPr>
        </w:r>
        <w:r w:rsidR="00C635FA" w:rsidRPr="00AA0A2C">
          <w:rPr>
            <w:rFonts w:asciiTheme="majorHAnsi" w:hAnsiTheme="majorHAnsi"/>
            <w:noProof/>
            <w:webHidden/>
          </w:rPr>
          <w:fldChar w:fldCharType="separate"/>
        </w:r>
        <w:r w:rsidR="0010296A">
          <w:rPr>
            <w:rFonts w:asciiTheme="majorHAnsi" w:hAnsiTheme="majorHAnsi"/>
            <w:noProof/>
            <w:webHidden/>
          </w:rPr>
          <w:t>36</w:t>
        </w:r>
        <w:r w:rsidR="00C635FA" w:rsidRPr="00AA0A2C">
          <w:rPr>
            <w:rFonts w:asciiTheme="majorHAnsi" w:hAnsiTheme="majorHAnsi"/>
            <w:noProof/>
            <w:webHidden/>
          </w:rPr>
          <w:fldChar w:fldCharType="end"/>
        </w:r>
      </w:hyperlink>
    </w:p>
    <w:p w:rsidR="00C635FA" w:rsidRPr="00AA0A2C" w:rsidRDefault="0074463C">
      <w:pPr>
        <w:pStyle w:val="TDC3"/>
        <w:tabs>
          <w:tab w:val="right" w:leader="dot" w:pos="8261"/>
        </w:tabs>
        <w:rPr>
          <w:rFonts w:asciiTheme="majorHAnsi" w:eastAsiaTheme="minorEastAsia" w:hAnsiTheme="majorHAnsi" w:cstheme="minorBidi"/>
          <w:noProof/>
          <w:szCs w:val="22"/>
          <w:lang w:eastAsia="es-CO"/>
        </w:rPr>
      </w:pPr>
      <w:hyperlink w:anchor="_Toc445192931" w:history="1">
        <w:r w:rsidR="00C635FA" w:rsidRPr="00AA0A2C">
          <w:rPr>
            <w:rStyle w:val="Hipervnculo"/>
            <w:rFonts w:asciiTheme="majorHAnsi" w:hAnsiTheme="majorHAnsi"/>
            <w:noProof/>
          </w:rPr>
          <w:t>Selección de Impactos Objeto de Valoración Económica</w:t>
        </w:r>
        <w:r w:rsidR="00C635FA" w:rsidRPr="00AA0A2C">
          <w:rPr>
            <w:rFonts w:asciiTheme="majorHAnsi" w:hAnsiTheme="majorHAnsi"/>
            <w:noProof/>
            <w:webHidden/>
          </w:rPr>
          <w:tab/>
        </w:r>
        <w:r w:rsidR="00C635FA" w:rsidRPr="00AA0A2C">
          <w:rPr>
            <w:rFonts w:asciiTheme="majorHAnsi" w:hAnsiTheme="majorHAnsi"/>
            <w:noProof/>
            <w:webHidden/>
          </w:rPr>
          <w:fldChar w:fldCharType="begin"/>
        </w:r>
        <w:r w:rsidR="00C635FA" w:rsidRPr="00AA0A2C">
          <w:rPr>
            <w:rFonts w:asciiTheme="majorHAnsi" w:hAnsiTheme="majorHAnsi"/>
            <w:noProof/>
            <w:webHidden/>
          </w:rPr>
          <w:instrText xml:space="preserve"> PAGEREF _Toc445192931 \h </w:instrText>
        </w:r>
        <w:r w:rsidR="00C635FA" w:rsidRPr="00AA0A2C">
          <w:rPr>
            <w:rFonts w:asciiTheme="majorHAnsi" w:hAnsiTheme="majorHAnsi"/>
            <w:noProof/>
            <w:webHidden/>
          </w:rPr>
        </w:r>
        <w:r w:rsidR="00C635FA" w:rsidRPr="00AA0A2C">
          <w:rPr>
            <w:rFonts w:asciiTheme="majorHAnsi" w:hAnsiTheme="majorHAnsi"/>
            <w:noProof/>
            <w:webHidden/>
          </w:rPr>
          <w:fldChar w:fldCharType="separate"/>
        </w:r>
        <w:r w:rsidR="0010296A">
          <w:rPr>
            <w:rFonts w:asciiTheme="majorHAnsi" w:hAnsiTheme="majorHAnsi"/>
            <w:noProof/>
            <w:webHidden/>
          </w:rPr>
          <w:t>37</w:t>
        </w:r>
        <w:r w:rsidR="00C635FA" w:rsidRPr="00AA0A2C">
          <w:rPr>
            <w:rFonts w:asciiTheme="majorHAnsi" w:hAnsiTheme="majorHAnsi"/>
            <w:noProof/>
            <w:webHidden/>
          </w:rPr>
          <w:fldChar w:fldCharType="end"/>
        </w:r>
      </w:hyperlink>
    </w:p>
    <w:p w:rsidR="00C635FA" w:rsidRPr="00AA0A2C" w:rsidRDefault="0074463C">
      <w:pPr>
        <w:pStyle w:val="TDC2"/>
        <w:tabs>
          <w:tab w:val="right" w:leader="dot" w:pos="8261"/>
        </w:tabs>
        <w:rPr>
          <w:rFonts w:asciiTheme="majorHAnsi" w:eastAsiaTheme="minorEastAsia" w:hAnsiTheme="majorHAnsi" w:cstheme="minorBidi"/>
          <w:bCs w:val="0"/>
          <w:noProof/>
          <w:lang w:eastAsia="es-CO"/>
        </w:rPr>
      </w:pPr>
      <w:hyperlink w:anchor="_Toc445192932" w:history="1">
        <w:r w:rsidR="00C635FA" w:rsidRPr="00AA0A2C">
          <w:rPr>
            <w:rStyle w:val="Hipervnculo"/>
            <w:rFonts w:asciiTheme="majorHAnsi" w:hAnsiTheme="majorHAnsi" w:cs="Arial"/>
            <w:noProof/>
          </w:rPr>
          <w:t>VALORACIÓN ECONÓMICA DE LOS IMPACTOS AMBIENTALES DEL PROYECTO</w:t>
        </w:r>
        <w:r w:rsidR="00C635FA" w:rsidRPr="00AA0A2C">
          <w:rPr>
            <w:rFonts w:asciiTheme="majorHAnsi" w:hAnsiTheme="majorHAnsi"/>
            <w:noProof/>
            <w:webHidden/>
          </w:rPr>
          <w:tab/>
        </w:r>
        <w:r w:rsidR="00C635FA" w:rsidRPr="00AA0A2C">
          <w:rPr>
            <w:rFonts w:asciiTheme="majorHAnsi" w:hAnsiTheme="majorHAnsi"/>
            <w:noProof/>
            <w:webHidden/>
          </w:rPr>
          <w:fldChar w:fldCharType="begin"/>
        </w:r>
        <w:r w:rsidR="00C635FA" w:rsidRPr="00AA0A2C">
          <w:rPr>
            <w:rFonts w:asciiTheme="majorHAnsi" w:hAnsiTheme="majorHAnsi"/>
            <w:noProof/>
            <w:webHidden/>
          </w:rPr>
          <w:instrText xml:space="preserve"> PAGEREF _Toc445192932 \h </w:instrText>
        </w:r>
        <w:r w:rsidR="00C635FA" w:rsidRPr="00AA0A2C">
          <w:rPr>
            <w:rFonts w:asciiTheme="majorHAnsi" w:hAnsiTheme="majorHAnsi"/>
            <w:noProof/>
            <w:webHidden/>
          </w:rPr>
        </w:r>
        <w:r w:rsidR="00C635FA" w:rsidRPr="00AA0A2C">
          <w:rPr>
            <w:rFonts w:asciiTheme="majorHAnsi" w:hAnsiTheme="majorHAnsi"/>
            <w:noProof/>
            <w:webHidden/>
          </w:rPr>
          <w:fldChar w:fldCharType="separate"/>
        </w:r>
        <w:r w:rsidR="0010296A">
          <w:rPr>
            <w:rFonts w:asciiTheme="majorHAnsi" w:hAnsiTheme="majorHAnsi"/>
            <w:noProof/>
            <w:webHidden/>
          </w:rPr>
          <w:t>39</w:t>
        </w:r>
        <w:r w:rsidR="00C635FA" w:rsidRPr="00AA0A2C">
          <w:rPr>
            <w:rFonts w:asciiTheme="majorHAnsi" w:hAnsiTheme="majorHAnsi"/>
            <w:noProof/>
            <w:webHidden/>
          </w:rPr>
          <w:fldChar w:fldCharType="end"/>
        </w:r>
      </w:hyperlink>
    </w:p>
    <w:p w:rsidR="00C635FA" w:rsidRPr="00AA0A2C" w:rsidRDefault="0074463C">
      <w:pPr>
        <w:pStyle w:val="TDC3"/>
        <w:tabs>
          <w:tab w:val="right" w:leader="dot" w:pos="8261"/>
        </w:tabs>
        <w:rPr>
          <w:rFonts w:asciiTheme="majorHAnsi" w:eastAsiaTheme="minorEastAsia" w:hAnsiTheme="majorHAnsi" w:cstheme="minorBidi"/>
          <w:noProof/>
          <w:szCs w:val="22"/>
          <w:lang w:eastAsia="es-CO"/>
        </w:rPr>
      </w:pPr>
      <w:hyperlink w:anchor="_Toc445192933" w:history="1">
        <w:r w:rsidR="00C635FA" w:rsidRPr="00AA0A2C">
          <w:rPr>
            <w:rStyle w:val="Hipervnculo"/>
            <w:rFonts w:asciiTheme="majorHAnsi" w:hAnsiTheme="majorHAnsi"/>
            <w:noProof/>
          </w:rPr>
          <w:t>Objetivos</w:t>
        </w:r>
        <w:r w:rsidR="00C635FA" w:rsidRPr="00AA0A2C">
          <w:rPr>
            <w:rFonts w:asciiTheme="majorHAnsi" w:hAnsiTheme="majorHAnsi"/>
            <w:noProof/>
            <w:webHidden/>
          </w:rPr>
          <w:tab/>
        </w:r>
        <w:r w:rsidR="00C635FA" w:rsidRPr="00AA0A2C">
          <w:rPr>
            <w:rFonts w:asciiTheme="majorHAnsi" w:hAnsiTheme="majorHAnsi"/>
            <w:noProof/>
            <w:webHidden/>
          </w:rPr>
          <w:fldChar w:fldCharType="begin"/>
        </w:r>
        <w:r w:rsidR="00C635FA" w:rsidRPr="00AA0A2C">
          <w:rPr>
            <w:rFonts w:asciiTheme="majorHAnsi" w:hAnsiTheme="majorHAnsi"/>
            <w:noProof/>
            <w:webHidden/>
          </w:rPr>
          <w:instrText xml:space="preserve"> PAGEREF _Toc445192933 \h </w:instrText>
        </w:r>
        <w:r w:rsidR="00C635FA" w:rsidRPr="00AA0A2C">
          <w:rPr>
            <w:rFonts w:asciiTheme="majorHAnsi" w:hAnsiTheme="majorHAnsi"/>
            <w:noProof/>
            <w:webHidden/>
          </w:rPr>
        </w:r>
        <w:r w:rsidR="00C635FA" w:rsidRPr="00AA0A2C">
          <w:rPr>
            <w:rFonts w:asciiTheme="majorHAnsi" w:hAnsiTheme="majorHAnsi"/>
            <w:noProof/>
            <w:webHidden/>
          </w:rPr>
          <w:fldChar w:fldCharType="separate"/>
        </w:r>
        <w:r w:rsidR="0010296A">
          <w:rPr>
            <w:rFonts w:asciiTheme="majorHAnsi" w:hAnsiTheme="majorHAnsi"/>
            <w:noProof/>
            <w:webHidden/>
          </w:rPr>
          <w:t>39</w:t>
        </w:r>
        <w:r w:rsidR="00C635FA" w:rsidRPr="00AA0A2C">
          <w:rPr>
            <w:rFonts w:asciiTheme="majorHAnsi" w:hAnsiTheme="majorHAnsi"/>
            <w:noProof/>
            <w:webHidden/>
          </w:rPr>
          <w:fldChar w:fldCharType="end"/>
        </w:r>
      </w:hyperlink>
    </w:p>
    <w:p w:rsidR="00C635FA" w:rsidRPr="00AA0A2C" w:rsidRDefault="0074463C">
      <w:pPr>
        <w:pStyle w:val="TDC3"/>
        <w:tabs>
          <w:tab w:val="right" w:leader="dot" w:pos="8261"/>
        </w:tabs>
        <w:rPr>
          <w:rFonts w:asciiTheme="majorHAnsi" w:eastAsiaTheme="minorEastAsia" w:hAnsiTheme="majorHAnsi" w:cstheme="minorBidi"/>
          <w:noProof/>
          <w:szCs w:val="22"/>
          <w:lang w:eastAsia="es-CO"/>
        </w:rPr>
      </w:pPr>
      <w:hyperlink w:anchor="_Toc445192934" w:history="1">
        <w:r w:rsidR="00C635FA" w:rsidRPr="00AA0A2C">
          <w:rPr>
            <w:rStyle w:val="Hipervnculo"/>
            <w:rFonts w:asciiTheme="majorHAnsi" w:hAnsiTheme="majorHAnsi"/>
            <w:noProof/>
            <w:lang w:eastAsia="es-CO"/>
          </w:rPr>
          <w:t>Objetivo general</w:t>
        </w:r>
        <w:r w:rsidR="00C635FA" w:rsidRPr="00AA0A2C">
          <w:rPr>
            <w:rFonts w:asciiTheme="majorHAnsi" w:hAnsiTheme="majorHAnsi"/>
            <w:noProof/>
            <w:webHidden/>
          </w:rPr>
          <w:tab/>
        </w:r>
        <w:r w:rsidR="00C635FA" w:rsidRPr="00AA0A2C">
          <w:rPr>
            <w:rFonts w:asciiTheme="majorHAnsi" w:hAnsiTheme="majorHAnsi"/>
            <w:noProof/>
            <w:webHidden/>
          </w:rPr>
          <w:fldChar w:fldCharType="begin"/>
        </w:r>
        <w:r w:rsidR="00C635FA" w:rsidRPr="00AA0A2C">
          <w:rPr>
            <w:rFonts w:asciiTheme="majorHAnsi" w:hAnsiTheme="majorHAnsi"/>
            <w:noProof/>
            <w:webHidden/>
          </w:rPr>
          <w:instrText xml:space="preserve"> PAGEREF _Toc445192934 \h </w:instrText>
        </w:r>
        <w:r w:rsidR="00C635FA" w:rsidRPr="00AA0A2C">
          <w:rPr>
            <w:rFonts w:asciiTheme="majorHAnsi" w:hAnsiTheme="majorHAnsi"/>
            <w:noProof/>
            <w:webHidden/>
          </w:rPr>
        </w:r>
        <w:r w:rsidR="00C635FA" w:rsidRPr="00AA0A2C">
          <w:rPr>
            <w:rFonts w:asciiTheme="majorHAnsi" w:hAnsiTheme="majorHAnsi"/>
            <w:noProof/>
            <w:webHidden/>
          </w:rPr>
          <w:fldChar w:fldCharType="separate"/>
        </w:r>
        <w:r w:rsidR="0010296A">
          <w:rPr>
            <w:rFonts w:asciiTheme="majorHAnsi" w:hAnsiTheme="majorHAnsi"/>
            <w:noProof/>
            <w:webHidden/>
          </w:rPr>
          <w:t>39</w:t>
        </w:r>
        <w:r w:rsidR="00C635FA" w:rsidRPr="00AA0A2C">
          <w:rPr>
            <w:rFonts w:asciiTheme="majorHAnsi" w:hAnsiTheme="majorHAnsi"/>
            <w:noProof/>
            <w:webHidden/>
          </w:rPr>
          <w:fldChar w:fldCharType="end"/>
        </w:r>
      </w:hyperlink>
    </w:p>
    <w:p w:rsidR="00C635FA" w:rsidRPr="00AA0A2C" w:rsidRDefault="0074463C">
      <w:pPr>
        <w:pStyle w:val="TDC3"/>
        <w:tabs>
          <w:tab w:val="right" w:leader="dot" w:pos="8261"/>
        </w:tabs>
        <w:rPr>
          <w:rFonts w:asciiTheme="majorHAnsi" w:eastAsiaTheme="minorEastAsia" w:hAnsiTheme="majorHAnsi" w:cstheme="minorBidi"/>
          <w:noProof/>
          <w:szCs w:val="22"/>
          <w:lang w:eastAsia="es-CO"/>
        </w:rPr>
      </w:pPr>
      <w:hyperlink w:anchor="_Toc445192935" w:history="1">
        <w:r w:rsidR="00C635FA" w:rsidRPr="00AA0A2C">
          <w:rPr>
            <w:rStyle w:val="Hipervnculo"/>
            <w:rFonts w:asciiTheme="majorHAnsi" w:hAnsiTheme="majorHAnsi"/>
            <w:noProof/>
          </w:rPr>
          <w:t>Alcance de la valoración</w:t>
        </w:r>
        <w:r w:rsidR="00C635FA" w:rsidRPr="00AA0A2C">
          <w:rPr>
            <w:rFonts w:asciiTheme="majorHAnsi" w:hAnsiTheme="majorHAnsi"/>
            <w:noProof/>
            <w:webHidden/>
          </w:rPr>
          <w:tab/>
        </w:r>
        <w:r w:rsidR="00C635FA" w:rsidRPr="00AA0A2C">
          <w:rPr>
            <w:rFonts w:asciiTheme="majorHAnsi" w:hAnsiTheme="majorHAnsi"/>
            <w:noProof/>
            <w:webHidden/>
          </w:rPr>
          <w:fldChar w:fldCharType="begin"/>
        </w:r>
        <w:r w:rsidR="00C635FA" w:rsidRPr="00AA0A2C">
          <w:rPr>
            <w:rFonts w:asciiTheme="majorHAnsi" w:hAnsiTheme="majorHAnsi"/>
            <w:noProof/>
            <w:webHidden/>
          </w:rPr>
          <w:instrText xml:space="preserve"> PAGEREF _Toc445192935 \h </w:instrText>
        </w:r>
        <w:r w:rsidR="00C635FA" w:rsidRPr="00AA0A2C">
          <w:rPr>
            <w:rFonts w:asciiTheme="majorHAnsi" w:hAnsiTheme="majorHAnsi"/>
            <w:noProof/>
            <w:webHidden/>
          </w:rPr>
        </w:r>
        <w:r w:rsidR="00C635FA" w:rsidRPr="00AA0A2C">
          <w:rPr>
            <w:rFonts w:asciiTheme="majorHAnsi" w:hAnsiTheme="majorHAnsi"/>
            <w:noProof/>
            <w:webHidden/>
          </w:rPr>
          <w:fldChar w:fldCharType="separate"/>
        </w:r>
        <w:r w:rsidR="0010296A">
          <w:rPr>
            <w:rFonts w:asciiTheme="majorHAnsi" w:hAnsiTheme="majorHAnsi"/>
            <w:noProof/>
            <w:webHidden/>
          </w:rPr>
          <w:t>39</w:t>
        </w:r>
        <w:r w:rsidR="00C635FA" w:rsidRPr="00AA0A2C">
          <w:rPr>
            <w:rFonts w:asciiTheme="majorHAnsi" w:hAnsiTheme="majorHAnsi"/>
            <w:noProof/>
            <w:webHidden/>
          </w:rPr>
          <w:fldChar w:fldCharType="end"/>
        </w:r>
      </w:hyperlink>
    </w:p>
    <w:p w:rsidR="00C635FA" w:rsidRPr="00AA0A2C" w:rsidRDefault="0074463C">
      <w:pPr>
        <w:pStyle w:val="TDC3"/>
        <w:tabs>
          <w:tab w:val="right" w:leader="dot" w:pos="8261"/>
        </w:tabs>
        <w:rPr>
          <w:rFonts w:asciiTheme="majorHAnsi" w:eastAsiaTheme="minorEastAsia" w:hAnsiTheme="majorHAnsi" w:cstheme="minorBidi"/>
          <w:noProof/>
          <w:szCs w:val="22"/>
          <w:lang w:eastAsia="es-CO"/>
        </w:rPr>
      </w:pPr>
      <w:hyperlink w:anchor="_Toc445192936" w:history="1">
        <w:r w:rsidR="00C635FA" w:rsidRPr="00AA0A2C">
          <w:rPr>
            <w:rStyle w:val="Hipervnculo"/>
            <w:rFonts w:asciiTheme="majorHAnsi" w:hAnsiTheme="majorHAnsi"/>
            <w:noProof/>
          </w:rPr>
          <w:t>Procedimiento para la valoración</w:t>
        </w:r>
        <w:r w:rsidR="00C635FA" w:rsidRPr="00AA0A2C">
          <w:rPr>
            <w:rFonts w:asciiTheme="majorHAnsi" w:hAnsiTheme="majorHAnsi"/>
            <w:noProof/>
            <w:webHidden/>
          </w:rPr>
          <w:tab/>
        </w:r>
        <w:r w:rsidR="00C635FA" w:rsidRPr="00AA0A2C">
          <w:rPr>
            <w:rFonts w:asciiTheme="majorHAnsi" w:hAnsiTheme="majorHAnsi"/>
            <w:noProof/>
            <w:webHidden/>
          </w:rPr>
          <w:fldChar w:fldCharType="begin"/>
        </w:r>
        <w:r w:rsidR="00C635FA" w:rsidRPr="00AA0A2C">
          <w:rPr>
            <w:rFonts w:asciiTheme="majorHAnsi" w:hAnsiTheme="majorHAnsi"/>
            <w:noProof/>
            <w:webHidden/>
          </w:rPr>
          <w:instrText xml:space="preserve"> PAGEREF _Toc445192936 \h </w:instrText>
        </w:r>
        <w:r w:rsidR="00C635FA" w:rsidRPr="00AA0A2C">
          <w:rPr>
            <w:rFonts w:asciiTheme="majorHAnsi" w:hAnsiTheme="majorHAnsi"/>
            <w:noProof/>
            <w:webHidden/>
          </w:rPr>
        </w:r>
        <w:r w:rsidR="00C635FA" w:rsidRPr="00AA0A2C">
          <w:rPr>
            <w:rFonts w:asciiTheme="majorHAnsi" w:hAnsiTheme="majorHAnsi"/>
            <w:noProof/>
            <w:webHidden/>
          </w:rPr>
          <w:fldChar w:fldCharType="separate"/>
        </w:r>
        <w:r w:rsidR="0010296A">
          <w:rPr>
            <w:rFonts w:asciiTheme="majorHAnsi" w:hAnsiTheme="majorHAnsi"/>
            <w:noProof/>
            <w:webHidden/>
          </w:rPr>
          <w:t>41</w:t>
        </w:r>
        <w:r w:rsidR="00C635FA" w:rsidRPr="00AA0A2C">
          <w:rPr>
            <w:rFonts w:asciiTheme="majorHAnsi" w:hAnsiTheme="majorHAnsi"/>
            <w:noProof/>
            <w:webHidden/>
          </w:rPr>
          <w:fldChar w:fldCharType="end"/>
        </w:r>
      </w:hyperlink>
    </w:p>
    <w:p w:rsidR="00C635FA" w:rsidRPr="00AA0A2C" w:rsidRDefault="0074463C">
      <w:pPr>
        <w:pStyle w:val="TDC3"/>
        <w:tabs>
          <w:tab w:val="right" w:leader="dot" w:pos="8261"/>
        </w:tabs>
        <w:rPr>
          <w:rFonts w:asciiTheme="majorHAnsi" w:eastAsiaTheme="minorEastAsia" w:hAnsiTheme="majorHAnsi" w:cstheme="minorBidi"/>
          <w:noProof/>
          <w:szCs w:val="22"/>
          <w:lang w:eastAsia="es-CO"/>
        </w:rPr>
      </w:pPr>
      <w:hyperlink w:anchor="_Toc445192937" w:history="1">
        <w:r w:rsidR="00C635FA" w:rsidRPr="00AA0A2C">
          <w:rPr>
            <w:rStyle w:val="Hipervnculo"/>
            <w:rFonts w:asciiTheme="majorHAnsi" w:hAnsiTheme="majorHAnsi"/>
            <w:noProof/>
          </w:rPr>
          <w:t>Etapas del Proyecto y actividades con potencial de generar impactos ambientales y sociales</w:t>
        </w:r>
        <w:r w:rsidR="00C635FA" w:rsidRPr="00AA0A2C">
          <w:rPr>
            <w:rFonts w:asciiTheme="majorHAnsi" w:hAnsiTheme="majorHAnsi"/>
            <w:noProof/>
            <w:webHidden/>
          </w:rPr>
          <w:tab/>
        </w:r>
        <w:r w:rsidR="00C635FA" w:rsidRPr="00AA0A2C">
          <w:rPr>
            <w:rFonts w:asciiTheme="majorHAnsi" w:hAnsiTheme="majorHAnsi"/>
            <w:noProof/>
            <w:webHidden/>
          </w:rPr>
          <w:fldChar w:fldCharType="begin"/>
        </w:r>
        <w:r w:rsidR="00C635FA" w:rsidRPr="00AA0A2C">
          <w:rPr>
            <w:rFonts w:asciiTheme="majorHAnsi" w:hAnsiTheme="majorHAnsi"/>
            <w:noProof/>
            <w:webHidden/>
          </w:rPr>
          <w:instrText xml:space="preserve"> PAGEREF _Toc445192937 \h </w:instrText>
        </w:r>
        <w:r w:rsidR="00C635FA" w:rsidRPr="00AA0A2C">
          <w:rPr>
            <w:rFonts w:asciiTheme="majorHAnsi" w:hAnsiTheme="majorHAnsi"/>
            <w:noProof/>
            <w:webHidden/>
          </w:rPr>
        </w:r>
        <w:r w:rsidR="00C635FA" w:rsidRPr="00AA0A2C">
          <w:rPr>
            <w:rFonts w:asciiTheme="majorHAnsi" w:hAnsiTheme="majorHAnsi"/>
            <w:noProof/>
            <w:webHidden/>
          </w:rPr>
          <w:fldChar w:fldCharType="separate"/>
        </w:r>
        <w:r w:rsidR="0010296A">
          <w:rPr>
            <w:rFonts w:asciiTheme="majorHAnsi" w:hAnsiTheme="majorHAnsi"/>
            <w:noProof/>
            <w:webHidden/>
          </w:rPr>
          <w:t>43</w:t>
        </w:r>
        <w:r w:rsidR="00C635FA" w:rsidRPr="00AA0A2C">
          <w:rPr>
            <w:rFonts w:asciiTheme="majorHAnsi" w:hAnsiTheme="majorHAnsi"/>
            <w:noProof/>
            <w:webHidden/>
          </w:rPr>
          <w:fldChar w:fldCharType="end"/>
        </w:r>
      </w:hyperlink>
    </w:p>
    <w:p w:rsidR="00812655" w:rsidRPr="00AA0A2C" w:rsidRDefault="00D36811" w:rsidP="00D36811">
      <w:pPr>
        <w:rPr>
          <w:rFonts w:asciiTheme="majorHAnsi" w:hAnsiTheme="majorHAnsi"/>
        </w:rPr>
      </w:pPr>
      <w:r w:rsidRPr="00AA0A2C">
        <w:rPr>
          <w:rFonts w:asciiTheme="majorHAnsi" w:hAnsiTheme="majorHAnsi"/>
        </w:rPr>
        <w:fldChar w:fldCharType="end"/>
      </w:r>
    </w:p>
    <w:p w:rsidR="00D36811" w:rsidRPr="00AA0A2C" w:rsidRDefault="00812655" w:rsidP="00D36811">
      <w:pPr>
        <w:rPr>
          <w:rFonts w:asciiTheme="majorHAnsi" w:hAnsiTheme="majorHAnsi"/>
        </w:rPr>
      </w:pPr>
      <w:r w:rsidRPr="00AA0A2C">
        <w:rPr>
          <w:rFonts w:asciiTheme="majorHAnsi" w:hAnsiTheme="majorHAnsi"/>
        </w:rPr>
        <w:br w:type="page"/>
      </w:r>
    </w:p>
    <w:p w:rsidR="00D83858" w:rsidRPr="00AA0A2C" w:rsidRDefault="007F16FC" w:rsidP="00CD1F06">
      <w:pPr>
        <w:pStyle w:val="Ttulo1"/>
        <w:rPr>
          <w:rFonts w:asciiTheme="majorHAnsi" w:hAnsiTheme="majorHAnsi"/>
        </w:rPr>
      </w:pPr>
      <w:bookmarkStart w:id="4" w:name="_Toc318651435"/>
      <w:bookmarkStart w:id="5" w:name="_Toc321238262"/>
      <w:bookmarkStart w:id="6" w:name="_Toc321737767"/>
      <w:bookmarkStart w:id="7" w:name="_Toc399930254"/>
      <w:bookmarkStart w:id="8" w:name="_Toc423588315"/>
      <w:bookmarkStart w:id="9" w:name="_Toc445192917"/>
      <w:bookmarkEnd w:id="0"/>
      <w:bookmarkEnd w:id="1"/>
      <w:bookmarkEnd w:id="2"/>
      <w:bookmarkEnd w:id="3"/>
      <w:r w:rsidRPr="00AA0A2C">
        <w:rPr>
          <w:rFonts w:asciiTheme="majorHAnsi" w:hAnsiTheme="majorHAnsi"/>
          <w:caps w:val="0"/>
        </w:rPr>
        <w:t xml:space="preserve">EVALUACIÓN ECONÓMICA </w:t>
      </w:r>
      <w:bookmarkEnd w:id="4"/>
      <w:bookmarkEnd w:id="5"/>
      <w:bookmarkEnd w:id="6"/>
      <w:r w:rsidRPr="00AA0A2C">
        <w:rPr>
          <w:rFonts w:asciiTheme="majorHAnsi" w:hAnsiTheme="majorHAnsi"/>
          <w:caps w:val="0"/>
        </w:rPr>
        <w:t>DE IMPACTOS AMBIENTALES</w:t>
      </w:r>
      <w:bookmarkEnd w:id="7"/>
      <w:bookmarkEnd w:id="8"/>
      <w:bookmarkEnd w:id="9"/>
    </w:p>
    <w:p w:rsidR="00D83858" w:rsidRPr="00AA0A2C" w:rsidRDefault="00D83858" w:rsidP="00D83858">
      <w:pPr>
        <w:rPr>
          <w:rFonts w:asciiTheme="majorHAnsi" w:hAnsiTheme="majorHAnsi" w:cs="Arial"/>
        </w:rPr>
      </w:pPr>
    </w:p>
    <w:p w:rsidR="00CD1F06" w:rsidRPr="00AA0A2C" w:rsidRDefault="00CD1F06" w:rsidP="00CD1F06">
      <w:pPr>
        <w:pStyle w:val="Ttulo2"/>
        <w:tabs>
          <w:tab w:val="left" w:pos="993"/>
        </w:tabs>
        <w:ind w:left="284" w:firstLine="0"/>
        <w:rPr>
          <w:rFonts w:asciiTheme="majorHAnsi" w:hAnsiTheme="majorHAnsi"/>
        </w:rPr>
      </w:pPr>
      <w:bookmarkStart w:id="10" w:name="_Toc381349794"/>
      <w:bookmarkStart w:id="11" w:name="_Toc445192918"/>
      <w:bookmarkStart w:id="12" w:name="_Toc326652553"/>
      <w:r w:rsidRPr="00AA0A2C">
        <w:rPr>
          <w:rFonts w:asciiTheme="majorHAnsi" w:hAnsiTheme="majorHAnsi"/>
        </w:rPr>
        <w:t>METODOLOGÍA PARA LA EVALUACIÓN ECONÓMICA</w:t>
      </w:r>
      <w:bookmarkEnd w:id="10"/>
      <w:bookmarkEnd w:id="11"/>
      <w:r w:rsidRPr="00AA0A2C">
        <w:rPr>
          <w:rFonts w:asciiTheme="majorHAnsi" w:hAnsiTheme="majorHAnsi"/>
        </w:rPr>
        <w:t xml:space="preserve"> </w:t>
      </w:r>
      <w:bookmarkStart w:id="13" w:name="_Toc302396442"/>
      <w:bookmarkEnd w:id="12"/>
    </w:p>
    <w:p w:rsidR="00CD1F06" w:rsidRPr="00AA0A2C" w:rsidRDefault="00CD1F06" w:rsidP="00CD1F06">
      <w:pPr>
        <w:rPr>
          <w:rFonts w:asciiTheme="majorHAnsi" w:hAnsiTheme="majorHAnsi"/>
        </w:rPr>
      </w:pPr>
    </w:p>
    <w:p w:rsidR="00CD1F06" w:rsidRPr="00AA0A2C" w:rsidRDefault="00CD1F06" w:rsidP="007F16FC">
      <w:pPr>
        <w:pStyle w:val="Ttulo3"/>
        <w:rPr>
          <w:rFonts w:asciiTheme="majorHAnsi" w:hAnsiTheme="majorHAnsi"/>
        </w:rPr>
      </w:pPr>
      <w:bookmarkStart w:id="14" w:name="_Toc445192919"/>
      <w:bookmarkEnd w:id="13"/>
      <w:r w:rsidRPr="00AA0A2C">
        <w:rPr>
          <w:rFonts w:asciiTheme="majorHAnsi" w:hAnsiTheme="majorHAnsi"/>
        </w:rPr>
        <w:t xml:space="preserve">Marco de </w:t>
      </w:r>
      <w:r w:rsidR="007F16FC" w:rsidRPr="00AA0A2C">
        <w:rPr>
          <w:rFonts w:asciiTheme="majorHAnsi" w:hAnsiTheme="majorHAnsi"/>
        </w:rPr>
        <w:t>R</w:t>
      </w:r>
      <w:r w:rsidRPr="00AA0A2C">
        <w:rPr>
          <w:rFonts w:asciiTheme="majorHAnsi" w:hAnsiTheme="majorHAnsi"/>
        </w:rPr>
        <w:t>eferencia</w:t>
      </w:r>
      <w:bookmarkEnd w:id="14"/>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La Evaluación Económica en el Proceso de Evaluación de Impacto Ambiental dentro del Estudio de Impacto Ambiental para el Proyecto “Construcción de la Variante Puerto Berrío en los Departamentos de Antioquia y Santander”, comprende el estudio de valoración económica de impactos ambientales y el análisis costo beneficio ambiental. Este capítulo forma parte del Estudio de Impacto Ambiental que se presenta a consideración de la autoridad ambiental, dentro del proceso de solicitud de la respectiva Licencia Ambiental.</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La valoración económica de los impactos ambientales fue realizada por el equipo técnico de </w:t>
      </w:r>
      <w:r w:rsidR="008567C9" w:rsidRPr="00AA0A2C">
        <w:rPr>
          <w:rFonts w:asciiTheme="majorHAnsi" w:hAnsiTheme="majorHAnsi"/>
        </w:rPr>
        <w:t>Autopista Río Magdalena S.A.S.</w:t>
      </w:r>
      <w:r w:rsidRPr="00AA0A2C">
        <w:rPr>
          <w:rFonts w:asciiTheme="majorHAnsi" w:hAnsiTheme="majorHAnsi"/>
        </w:rPr>
        <w:t xml:space="preserve">, y en la cual se da cumplimiento a: (I) los requerimientos establecidos en los términos de referencia </w:t>
      </w:r>
      <w:r w:rsidR="000F31A6" w:rsidRPr="00AA0A2C">
        <w:rPr>
          <w:rFonts w:asciiTheme="majorHAnsi" w:hAnsiTheme="majorHAnsi"/>
        </w:rPr>
        <w:t>M-M-INA-02 Versión No 2</w:t>
      </w:r>
      <w:r w:rsidRPr="00AA0A2C">
        <w:rPr>
          <w:rFonts w:asciiTheme="majorHAnsi" w:hAnsiTheme="majorHAnsi"/>
        </w:rPr>
        <w:t>, para la elaboración del Estudio de Impacto Ambiental</w:t>
      </w:r>
      <w:r w:rsidR="002C2006" w:rsidRPr="00AA0A2C">
        <w:rPr>
          <w:rFonts w:asciiTheme="majorHAnsi" w:hAnsiTheme="majorHAnsi"/>
        </w:rPr>
        <w:t>, para la construcción de Carreteras y/o túneles con sus accesos</w:t>
      </w:r>
      <w:r w:rsidRPr="00AA0A2C">
        <w:rPr>
          <w:rFonts w:asciiTheme="majorHAnsi" w:hAnsiTheme="majorHAnsi"/>
        </w:rPr>
        <w:t>, (II) la Metodología General para la Presentación de los Estudios ambientales la cual en el numeral 2.3.2 desarrolla el tema de la evaluación económica del proceso de Evaluación del Impacto Ambiental, y (III) El Manual Técnico de Evaluación Económica de Impactos Ambientales en Proyectos Sujetos a Licenciamiento Ambiental. (CEDE – UNIANDES - MAVDT 2010).</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Los documentos mencionados se consultaron como una referencia de las directrices del Ministerio de ambiente y Desarrollo Sostenible y se ha definido una metodología adecuada para la valoración económica de los impactos, con base en la formulación de indicadores específicos para cada tema, de acuerdo con los impactos seleccionados como significativos, de tal manera que permitan medir con el mayor acierto los costos y beneficios ambientales.</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El Capítulo contiene una identificación de los impactos positivos y negativos que el proyecto generará sobre los componentes físicos, bióticos y socioeconómicos. Los impactos negativos se asocian con la disminución en la oferta de los recursos naturales, deterioro de los ecosistemas e infraestructura productiva y de servicios y afectación a la salud de las personas, y afectación de la productividad pecuaria, que en el ámbito de la evaluación económica se denominan externalidades negativas (costos ambientales), mientras que los impactos positivos corresponden a las externalidades positivas (beneficios ambientales) de los proyectos y que se manifiestan en acciones de mejoramiento ambiental, mejoramiento de infraestructura, mejoramiento de las inversiones en la zona de influencia por recursos del 1%, los cuales contribuyen al mejoramiento del nivel de bienestar de la población.</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Conviene señalar que el Análisis Costo Beneficio Ambiental, que se presenta en este capítulo no constituye la evaluación económica del proyecto sino una parte del mismo, razón por la cual en situaciones en que la Relación Beneficio Costo Ambiental o el Valor Presente Neto Ambiental de los proyectos viales arrojan valores menor que 1 o menor que Cero respectivamente, no sería factible sacar conclusiones definitivas sobre la rentabilidad social del proyecto, pero si, en caso contrario, los beneficios ambientales superan a los costos ambientales, se puede deducir que el proyecto será rentable y contribuirá al bienestar de la sociedad como un todo, lo cual es un indicador de un  aprovechamiento sostenible de los recursos naturales.</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De acuerdo con las orientaciones fundamentales del Manual Técnico de Valoración de Impactos Ambientales (CEDE –UNIANDES, 2010), en el caso de los </w:t>
      </w:r>
      <w:r w:rsidR="002B740B" w:rsidRPr="002B740B">
        <w:rPr>
          <w:rFonts w:asciiTheme="majorHAnsi" w:hAnsiTheme="majorHAnsi"/>
        </w:rPr>
        <w:t>ambientales negativos se identificaron aque</w:t>
      </w:r>
      <w:r w:rsidR="002B740B">
        <w:rPr>
          <w:rFonts w:asciiTheme="majorHAnsi" w:hAnsiTheme="majorHAnsi"/>
        </w:rPr>
        <w:t>llos calificados como moderados</w:t>
      </w:r>
      <w:r w:rsidRPr="00AA0A2C">
        <w:rPr>
          <w:rFonts w:asciiTheme="majorHAnsi" w:hAnsiTheme="majorHAnsi"/>
        </w:rPr>
        <w:t xml:space="preserve">.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El capítulo presenta además, </w:t>
      </w:r>
      <w:r w:rsidR="002B740B">
        <w:rPr>
          <w:rFonts w:asciiTheme="majorHAnsi" w:hAnsiTheme="majorHAnsi"/>
        </w:rPr>
        <w:t>una síntesis</w:t>
      </w:r>
      <w:r w:rsidR="002B740B" w:rsidRPr="00AA0A2C">
        <w:rPr>
          <w:rFonts w:asciiTheme="majorHAnsi" w:hAnsiTheme="majorHAnsi"/>
        </w:rPr>
        <w:t xml:space="preserve"> </w:t>
      </w:r>
      <w:r w:rsidRPr="00AA0A2C">
        <w:rPr>
          <w:rFonts w:asciiTheme="majorHAnsi" w:hAnsiTheme="majorHAnsi"/>
        </w:rPr>
        <w:t>del marco teórico para la valoración económica de los impactos ambientales como sustento para la selección de los métodos de valoración que permitan efectuar las respectivas mediciones y se encontró que, dadas las características del corredor, los más adecuados para el estudio fueron los métodos de enfoques de costos, precios de mercado y métodos de transferencia.</w:t>
      </w:r>
    </w:p>
    <w:p w:rsidR="00C635FA" w:rsidRPr="00AA0A2C" w:rsidRDefault="00C635FA"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Para la valoración económica se consideraron los impactos de tipo no internalizable, es decir, aquellos que no pueden ser mitigados o recuperados en su totalidad con las medidas de manejo ambiental, se utilizaron metodologías alternativas asociadas con enfoque de costos de recuperación, cambios en productividad, costos de tratamiento  o transferencia de beneficios, entre otras y en algunos casos se diseñaron metodologías a propósito con base en la experiencia de la Consultoría y en su aplicación en otros proyectos valorados y presentados al Ministerio de Ambiente y Desarrollo Sostenible.</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Dentro de ese conjunto, se considera que los impactos negativos constituyen los costos ambientales y los impactos positivos se asimilan los beneficios ambientales, y bajo esas premisas se valoran en términos de pesos ($) y luego es obtiene la Relación Beneficio / Costo. Este ejercicio se aplica con el fin de disponer de un conjunto de calificaciones de los diferentes conceptos de costos y de beneficios ambientales.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Una vez conocidos esos valores se facilita el análisis, permitiendo orientar a quienes deben tomar las decisiones de ejecución del proyecto y que en todo caso resulten favorables desde la perspectiva ambiental.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En el caso específico del Proyecto </w:t>
      </w:r>
      <w:r w:rsidR="002C2006" w:rsidRPr="00AA0A2C">
        <w:rPr>
          <w:rFonts w:asciiTheme="majorHAnsi" w:hAnsiTheme="majorHAnsi"/>
        </w:rPr>
        <w:t>Construcción de la Variante Puerto Berrío en los Departamentos de Antioquia y Santander</w:t>
      </w:r>
      <w:r w:rsidRPr="00AA0A2C">
        <w:rPr>
          <w:rFonts w:asciiTheme="majorHAnsi" w:hAnsiTheme="majorHAnsi"/>
        </w:rPr>
        <w:t xml:space="preserve">, se trata de un proyecto, cuya área </w:t>
      </w:r>
      <w:r w:rsidR="002C2006" w:rsidRPr="00AA0A2C">
        <w:rPr>
          <w:rFonts w:asciiTheme="majorHAnsi" w:hAnsiTheme="majorHAnsi"/>
        </w:rPr>
        <w:t>de intervención</w:t>
      </w:r>
      <w:r w:rsidRPr="00AA0A2C">
        <w:rPr>
          <w:rFonts w:asciiTheme="majorHAnsi" w:hAnsiTheme="majorHAnsi"/>
        </w:rPr>
        <w:t xml:space="preserve"> </w:t>
      </w:r>
      <w:r w:rsidR="002C2006" w:rsidRPr="00AA0A2C">
        <w:rPr>
          <w:rFonts w:asciiTheme="majorHAnsi" w:hAnsiTheme="majorHAnsi"/>
        </w:rPr>
        <w:t xml:space="preserve">alcanza </w:t>
      </w:r>
      <w:r w:rsidR="002C2006" w:rsidRPr="00AA0A2C">
        <w:rPr>
          <w:rFonts w:asciiTheme="majorHAnsi" w:hAnsiTheme="majorHAnsi"/>
          <w:b/>
        </w:rPr>
        <w:t>85,45</w:t>
      </w:r>
      <w:r w:rsidRPr="00AA0A2C">
        <w:rPr>
          <w:rFonts w:asciiTheme="majorHAnsi" w:hAnsiTheme="majorHAnsi"/>
          <w:b/>
        </w:rPr>
        <w:t xml:space="preserve"> Ha,</w:t>
      </w:r>
      <w:r w:rsidRPr="00AA0A2C">
        <w:rPr>
          <w:rFonts w:asciiTheme="majorHAnsi" w:hAnsiTheme="majorHAnsi"/>
        </w:rPr>
        <w:t xml:space="preserve"> y la longitud de la vía será de </w:t>
      </w:r>
      <w:r w:rsidR="002C2006" w:rsidRPr="00AA0A2C">
        <w:rPr>
          <w:rFonts w:asciiTheme="majorHAnsi" w:hAnsiTheme="majorHAnsi"/>
          <w:b/>
        </w:rPr>
        <w:t xml:space="preserve">14,4 </w:t>
      </w:r>
      <w:r w:rsidRPr="00AA0A2C">
        <w:rPr>
          <w:rFonts w:asciiTheme="majorHAnsi" w:hAnsiTheme="majorHAnsi"/>
          <w:b/>
        </w:rPr>
        <w:t>Km;</w:t>
      </w:r>
      <w:r w:rsidRPr="00AA0A2C">
        <w:rPr>
          <w:rFonts w:asciiTheme="majorHAnsi" w:hAnsiTheme="majorHAnsi"/>
        </w:rPr>
        <w:t xml:space="preserve"> El proyecto está ubicado en la jurisdicción de</w:t>
      </w:r>
      <w:r w:rsidR="002C2006" w:rsidRPr="00AA0A2C">
        <w:rPr>
          <w:rFonts w:asciiTheme="majorHAnsi" w:hAnsiTheme="majorHAnsi"/>
        </w:rPr>
        <w:t xml:space="preserve"> </w:t>
      </w:r>
      <w:r w:rsidRPr="00AA0A2C">
        <w:rPr>
          <w:rFonts w:asciiTheme="majorHAnsi" w:hAnsiTheme="majorHAnsi"/>
        </w:rPr>
        <w:t>l</w:t>
      </w:r>
      <w:r w:rsidR="002C2006" w:rsidRPr="00AA0A2C">
        <w:rPr>
          <w:rFonts w:asciiTheme="majorHAnsi" w:hAnsiTheme="majorHAnsi"/>
        </w:rPr>
        <w:t>os</w:t>
      </w:r>
      <w:r w:rsidRPr="00AA0A2C">
        <w:rPr>
          <w:rFonts w:asciiTheme="majorHAnsi" w:hAnsiTheme="majorHAnsi"/>
        </w:rPr>
        <w:t xml:space="preserve"> municipio</w:t>
      </w:r>
      <w:r w:rsidR="002C2006" w:rsidRPr="00AA0A2C">
        <w:rPr>
          <w:rFonts w:asciiTheme="majorHAnsi" w:hAnsiTheme="majorHAnsi"/>
        </w:rPr>
        <w:t>s</w:t>
      </w:r>
      <w:r w:rsidRPr="00AA0A2C">
        <w:rPr>
          <w:rFonts w:asciiTheme="majorHAnsi" w:hAnsiTheme="majorHAnsi"/>
        </w:rPr>
        <w:t xml:space="preserve"> de</w:t>
      </w:r>
      <w:r w:rsidR="002C2006" w:rsidRPr="00AA0A2C">
        <w:rPr>
          <w:rFonts w:asciiTheme="majorHAnsi" w:hAnsiTheme="majorHAnsi"/>
        </w:rPr>
        <w:t xml:space="preserve"> Puerto Berrío en el Departamento de Antioquia y Cimitarra en el Departamento de Santander.  En la siguiente Figura </w:t>
      </w:r>
      <w:r w:rsidRPr="00AA0A2C">
        <w:rPr>
          <w:rFonts w:asciiTheme="majorHAnsi" w:hAnsiTheme="majorHAnsi"/>
        </w:rPr>
        <w:t>se muestra la ubicación geográfica del proyecto.</w:t>
      </w:r>
    </w:p>
    <w:p w:rsidR="00CD1F06" w:rsidRPr="00AA0A2C" w:rsidRDefault="00CD1F06" w:rsidP="00CD1F06">
      <w:pPr>
        <w:rPr>
          <w:rFonts w:asciiTheme="majorHAnsi" w:hAnsiTheme="majorHAnsi"/>
        </w:rPr>
      </w:pPr>
    </w:p>
    <w:p w:rsidR="004C0F2C" w:rsidRPr="00AA0A2C" w:rsidRDefault="004C0F2C" w:rsidP="004C0F2C">
      <w:pPr>
        <w:rPr>
          <w:rFonts w:asciiTheme="majorHAnsi" w:hAnsiTheme="majorHAnsi"/>
        </w:rPr>
      </w:pPr>
      <w:r w:rsidRPr="00AA0A2C">
        <w:rPr>
          <w:rFonts w:asciiTheme="majorHAnsi" w:hAnsiTheme="majorHAnsi"/>
        </w:rPr>
        <w:t>Este capítulo contiene una valoración económica del Proyecto Construcción de la Variante Puerto Berrío en los Departamentos de Antioquia y Santander. Con base en los resultados del respectivo Estudio de Impacto Ambiental, se establecerán   los costos y beneficios ambientales y el análisis costo beneficio ambiental.</w:t>
      </w:r>
    </w:p>
    <w:p w:rsidR="004C0F2C" w:rsidRPr="00AA0A2C" w:rsidRDefault="004C0F2C" w:rsidP="00CD1F06">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8225"/>
      </w:tblGrid>
      <w:tr w:rsidR="004C0F2C" w:rsidRPr="00AA0A2C" w:rsidTr="00E3412B">
        <w:trPr>
          <w:trHeight w:val="2800"/>
          <w:jc w:val="center"/>
        </w:trPr>
        <w:tc>
          <w:tcPr>
            <w:tcW w:w="2800" w:type="dxa"/>
            <w:shd w:val="clear" w:color="auto" w:fill="auto"/>
            <w:vAlign w:val="center"/>
          </w:tcPr>
          <w:p w:rsidR="004C0F2C" w:rsidRPr="00AA0A2C" w:rsidRDefault="00DA6FF5" w:rsidP="00E3412B">
            <w:pPr>
              <w:keepNext/>
              <w:jc w:val="center"/>
              <w:rPr>
                <w:rFonts w:asciiTheme="majorHAnsi" w:hAnsiTheme="majorHAnsi"/>
                <w:kern w:val="32"/>
              </w:rPr>
            </w:pPr>
            <w:r w:rsidRPr="00AA0A2C">
              <w:rPr>
                <w:rFonts w:asciiTheme="majorHAnsi" w:hAnsiTheme="majorHAnsi"/>
                <w:noProof/>
                <w:kern w:val="32"/>
                <w:lang w:eastAsia="es-CO"/>
              </w:rPr>
              <w:drawing>
                <wp:inline distT="0" distB="0" distL="0" distR="0" wp14:anchorId="20FCF4AF" wp14:editId="23439A58">
                  <wp:extent cx="5133975" cy="3609975"/>
                  <wp:effectExtent l="0" t="0" r="0" b="0"/>
                  <wp:docPr id="63" name="1. EIACLGPVPB-001_MAPA DE LOCALIZACIÓN GENERAL.png"/>
                  <wp:cNvGraphicFramePr/>
                  <a:graphic xmlns:a="http://schemas.openxmlformats.org/drawingml/2006/main">
                    <a:graphicData uri="http://schemas.openxmlformats.org/drawingml/2006/picture">
                      <pic:pic xmlns:pic="http://schemas.openxmlformats.org/drawingml/2006/picture">
                        <pic:nvPicPr>
                          <pic:cNvPr id="63" name="1. EIACLGPVPB-001_MAPA DE LOCALIZACIÓN GENERA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7840" cy="4203342"/>
                          </a:xfrm>
                          <a:prstGeom prst="rect">
                            <a:avLst/>
                          </a:prstGeom>
                        </pic:spPr>
                      </pic:pic>
                    </a:graphicData>
                  </a:graphic>
                </wp:inline>
              </w:drawing>
            </w:r>
          </w:p>
        </w:tc>
      </w:tr>
    </w:tbl>
    <w:p w:rsidR="004C0F2C" w:rsidRPr="00AA0A2C" w:rsidRDefault="004C0F2C" w:rsidP="004C0F2C">
      <w:pPr>
        <w:pStyle w:val="Tablas"/>
        <w:rPr>
          <w:rFonts w:asciiTheme="majorHAnsi" w:hAnsiTheme="majorHAnsi"/>
        </w:rPr>
      </w:pPr>
      <w:bookmarkStart w:id="15" w:name="_Toc444511948"/>
      <w:r w:rsidRPr="00AA0A2C">
        <w:rPr>
          <w:rFonts w:asciiTheme="majorHAnsi" w:hAnsiTheme="majorHAnsi"/>
        </w:rPr>
        <w:t xml:space="preserve">Figura </w:t>
      </w:r>
      <w:r w:rsidRPr="00AA0A2C">
        <w:rPr>
          <w:rFonts w:asciiTheme="majorHAnsi" w:hAnsiTheme="majorHAnsi"/>
        </w:rPr>
        <w:fldChar w:fldCharType="begin"/>
      </w:r>
      <w:r w:rsidRPr="00AA0A2C">
        <w:rPr>
          <w:rFonts w:asciiTheme="majorHAnsi" w:hAnsiTheme="majorHAnsi"/>
        </w:rPr>
        <w:instrText xml:space="preserve"> STYLEREF 1 \s </w:instrText>
      </w:r>
      <w:r w:rsidRPr="00AA0A2C">
        <w:rPr>
          <w:rFonts w:asciiTheme="majorHAnsi" w:hAnsiTheme="majorHAnsi"/>
        </w:rPr>
        <w:fldChar w:fldCharType="separate"/>
      </w:r>
      <w:r w:rsidR="0010296A">
        <w:rPr>
          <w:rFonts w:asciiTheme="majorHAnsi" w:hAnsiTheme="majorHAnsi"/>
          <w:noProof/>
        </w:rPr>
        <w:t>10</w:t>
      </w:r>
      <w:r w:rsidRPr="00AA0A2C">
        <w:rPr>
          <w:rFonts w:asciiTheme="majorHAnsi" w:hAnsiTheme="majorHAnsi"/>
          <w:noProof/>
        </w:rPr>
        <w:fldChar w:fldCharType="end"/>
      </w:r>
      <w:r w:rsidRPr="00AA0A2C">
        <w:rPr>
          <w:rFonts w:asciiTheme="majorHAnsi" w:hAnsiTheme="majorHAnsi"/>
        </w:rPr>
        <w:t>.</w:t>
      </w:r>
      <w:r w:rsidRPr="00AA0A2C">
        <w:rPr>
          <w:rFonts w:asciiTheme="majorHAnsi" w:hAnsiTheme="majorHAnsi"/>
        </w:rPr>
        <w:fldChar w:fldCharType="begin"/>
      </w:r>
      <w:r w:rsidRPr="00AA0A2C">
        <w:rPr>
          <w:rFonts w:asciiTheme="majorHAnsi" w:hAnsiTheme="majorHAnsi"/>
        </w:rPr>
        <w:instrText xml:space="preserve"> SEQ Figura \* ARABIC \s 1 </w:instrText>
      </w:r>
      <w:r w:rsidRPr="00AA0A2C">
        <w:rPr>
          <w:rFonts w:asciiTheme="majorHAnsi" w:hAnsiTheme="majorHAnsi"/>
        </w:rPr>
        <w:fldChar w:fldCharType="separate"/>
      </w:r>
      <w:r w:rsidR="0010296A">
        <w:rPr>
          <w:rFonts w:asciiTheme="majorHAnsi" w:hAnsiTheme="majorHAnsi"/>
          <w:noProof/>
        </w:rPr>
        <w:t>1</w:t>
      </w:r>
      <w:r w:rsidRPr="00AA0A2C">
        <w:rPr>
          <w:rFonts w:asciiTheme="majorHAnsi" w:hAnsiTheme="majorHAnsi"/>
          <w:noProof/>
        </w:rPr>
        <w:fldChar w:fldCharType="end"/>
      </w:r>
      <w:r w:rsidRPr="00AA0A2C">
        <w:rPr>
          <w:rFonts w:asciiTheme="majorHAnsi" w:hAnsiTheme="majorHAnsi"/>
        </w:rPr>
        <w:t xml:space="preserve"> Localización del Proyecto</w:t>
      </w:r>
      <w:bookmarkEnd w:id="15"/>
    </w:p>
    <w:p w:rsidR="004C0F2C" w:rsidRPr="00AA0A2C" w:rsidRDefault="004C0F2C" w:rsidP="004C0F2C">
      <w:pPr>
        <w:pStyle w:val="Notas"/>
        <w:rPr>
          <w:rFonts w:asciiTheme="majorHAnsi" w:hAnsiTheme="majorHAnsi"/>
        </w:rPr>
      </w:pPr>
      <w:r w:rsidRPr="00AA0A2C">
        <w:rPr>
          <w:rFonts w:asciiTheme="majorHAnsi" w:hAnsiTheme="majorHAnsi"/>
        </w:rPr>
        <w:t>Fuente: Autopista Río Magdalena S.A.S, 2016</w:t>
      </w:r>
    </w:p>
    <w:p w:rsidR="002C2006" w:rsidRPr="00AA0A2C" w:rsidRDefault="002C20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Para efectos de la evaluación económica de los costos y beneficios ambientales se aplicaron las metodologías y los parámetros definidos por la Consultoría a las coberturas de diseño, considerando que en el área de </w:t>
      </w:r>
      <w:r w:rsidR="004C0F2C" w:rsidRPr="00AA0A2C">
        <w:rPr>
          <w:rFonts w:asciiTheme="majorHAnsi" w:hAnsiTheme="majorHAnsi"/>
        </w:rPr>
        <w:t xml:space="preserve">intervención </w:t>
      </w:r>
      <w:r w:rsidRPr="00AA0A2C">
        <w:rPr>
          <w:rFonts w:asciiTheme="majorHAnsi" w:hAnsiTheme="majorHAnsi"/>
        </w:rPr>
        <w:t xml:space="preserve">existen recursos naturales y actividades económicas que se alteran, como consecuencia de la intervención tanto sobre la cobertura vegetal en bosques, como sobre la productividad pecuaria.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De acuerdo con Walsh, “El objetivo de darle un valor económico a los impactos ocasionados por el proyecto es el de cuantificarlos a través de la unidad comercial, estableciendo de este modo una herramienta de gestión para la toma de decisiones del proponente en los costos a invertir en las medidas de manejo ambiental”. Para complementar el uso de la valoración económica ambiental como herramienta de gestión se presenta en la siguiente Figura el Diagrama de Planificación Ambiental” </w:t>
      </w:r>
    </w:p>
    <w:tbl>
      <w:tblPr>
        <w:tblW w:w="0" w:type="auto"/>
        <w:jc w:val="center"/>
        <w:tblCellMar>
          <w:left w:w="70" w:type="dxa"/>
          <w:right w:w="70" w:type="dxa"/>
        </w:tblCellMar>
        <w:tblLook w:val="0000" w:firstRow="0" w:lastRow="0" w:firstColumn="0" w:lastColumn="0" w:noHBand="0" w:noVBand="0"/>
      </w:tblPr>
      <w:tblGrid>
        <w:gridCol w:w="8120"/>
      </w:tblGrid>
      <w:tr w:rsidR="009B5C55" w:rsidRPr="00AA0A2C" w:rsidTr="00DA6FF5">
        <w:trPr>
          <w:trHeight w:val="2800"/>
          <w:jc w:val="center"/>
        </w:trPr>
        <w:tc>
          <w:tcPr>
            <w:tcW w:w="8120" w:type="dxa"/>
            <w:shd w:val="clear" w:color="auto" w:fill="auto"/>
            <w:vAlign w:val="center"/>
          </w:tcPr>
          <w:p w:rsidR="009B5C55" w:rsidRPr="00AA0A2C" w:rsidRDefault="009B5C55" w:rsidP="00E3412B">
            <w:pPr>
              <w:keepNext/>
              <w:jc w:val="center"/>
              <w:rPr>
                <w:rFonts w:asciiTheme="majorHAnsi" w:hAnsiTheme="majorHAnsi"/>
                <w:kern w:val="32"/>
              </w:rPr>
            </w:pPr>
            <w:bookmarkStart w:id="16" w:name="_Toc381338425"/>
            <w:bookmarkStart w:id="17" w:name="_Toc381349965"/>
            <w:r w:rsidRPr="00AA0A2C">
              <w:rPr>
                <w:rFonts w:asciiTheme="majorHAnsi" w:hAnsiTheme="majorHAnsi"/>
                <w:noProof/>
                <w:kern w:val="32"/>
                <w:lang w:eastAsia="es-CO"/>
              </w:rPr>
              <w:drawing>
                <wp:inline distT="0" distB="0" distL="0" distR="0" wp14:anchorId="7384E15B" wp14:editId="4BC65386">
                  <wp:extent cx="5066030" cy="4395470"/>
                  <wp:effectExtent l="0" t="0" r="127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6030" cy="4395470"/>
                          </a:xfrm>
                          <a:prstGeom prst="rect">
                            <a:avLst/>
                          </a:prstGeom>
                          <a:noFill/>
                        </pic:spPr>
                      </pic:pic>
                    </a:graphicData>
                  </a:graphic>
                </wp:inline>
              </w:drawing>
            </w:r>
          </w:p>
        </w:tc>
      </w:tr>
    </w:tbl>
    <w:p w:rsidR="009B5C55" w:rsidRPr="00AA0A2C" w:rsidRDefault="009B5C55" w:rsidP="009B5C55">
      <w:pPr>
        <w:pStyle w:val="Tablas"/>
        <w:rPr>
          <w:rFonts w:asciiTheme="majorHAnsi" w:hAnsiTheme="majorHAnsi"/>
        </w:rPr>
      </w:pPr>
      <w:r w:rsidRPr="00AA0A2C">
        <w:rPr>
          <w:rFonts w:asciiTheme="majorHAnsi" w:hAnsiTheme="majorHAnsi"/>
        </w:rPr>
        <w:t xml:space="preserve">Figura </w:t>
      </w:r>
      <w:r w:rsidRPr="00AA0A2C">
        <w:rPr>
          <w:rFonts w:asciiTheme="majorHAnsi" w:hAnsiTheme="majorHAnsi"/>
        </w:rPr>
        <w:fldChar w:fldCharType="begin"/>
      </w:r>
      <w:r w:rsidRPr="00AA0A2C">
        <w:rPr>
          <w:rFonts w:asciiTheme="majorHAnsi" w:hAnsiTheme="majorHAnsi"/>
        </w:rPr>
        <w:instrText xml:space="preserve"> STYLEREF 1 \s </w:instrText>
      </w:r>
      <w:r w:rsidRPr="00AA0A2C">
        <w:rPr>
          <w:rFonts w:asciiTheme="majorHAnsi" w:hAnsiTheme="majorHAnsi"/>
        </w:rPr>
        <w:fldChar w:fldCharType="separate"/>
      </w:r>
      <w:r w:rsidR="0010296A">
        <w:rPr>
          <w:rFonts w:asciiTheme="majorHAnsi" w:hAnsiTheme="majorHAnsi"/>
          <w:noProof/>
        </w:rPr>
        <w:t>10</w:t>
      </w:r>
      <w:r w:rsidRPr="00AA0A2C">
        <w:rPr>
          <w:rFonts w:asciiTheme="majorHAnsi" w:hAnsiTheme="majorHAnsi"/>
          <w:noProof/>
        </w:rPr>
        <w:fldChar w:fldCharType="end"/>
      </w:r>
      <w:r w:rsidRPr="00AA0A2C">
        <w:rPr>
          <w:rFonts w:asciiTheme="majorHAnsi" w:hAnsiTheme="majorHAnsi"/>
        </w:rPr>
        <w:t>.</w:t>
      </w:r>
      <w:r w:rsidRPr="00AA0A2C">
        <w:rPr>
          <w:rFonts w:asciiTheme="majorHAnsi" w:hAnsiTheme="majorHAnsi"/>
        </w:rPr>
        <w:fldChar w:fldCharType="begin"/>
      </w:r>
      <w:r w:rsidRPr="00AA0A2C">
        <w:rPr>
          <w:rFonts w:asciiTheme="majorHAnsi" w:hAnsiTheme="majorHAnsi"/>
        </w:rPr>
        <w:instrText xml:space="preserve"> SEQ Figura \* ARABIC \s 1 </w:instrText>
      </w:r>
      <w:r w:rsidRPr="00AA0A2C">
        <w:rPr>
          <w:rFonts w:asciiTheme="majorHAnsi" w:hAnsiTheme="majorHAnsi"/>
        </w:rPr>
        <w:fldChar w:fldCharType="separate"/>
      </w:r>
      <w:r w:rsidR="0010296A">
        <w:rPr>
          <w:rFonts w:asciiTheme="majorHAnsi" w:hAnsiTheme="majorHAnsi"/>
          <w:noProof/>
        </w:rPr>
        <w:t>2</w:t>
      </w:r>
      <w:r w:rsidRPr="00AA0A2C">
        <w:rPr>
          <w:rFonts w:asciiTheme="majorHAnsi" w:hAnsiTheme="majorHAnsi"/>
          <w:noProof/>
        </w:rPr>
        <w:fldChar w:fldCharType="end"/>
      </w:r>
      <w:r w:rsidRPr="00AA0A2C">
        <w:rPr>
          <w:rFonts w:asciiTheme="majorHAnsi" w:hAnsiTheme="majorHAnsi"/>
        </w:rPr>
        <w:t xml:space="preserve"> Diagrama de Planificación Ambiental</w:t>
      </w:r>
    </w:p>
    <w:p w:rsidR="009B5C55" w:rsidRPr="00AA0A2C" w:rsidRDefault="009B5C55" w:rsidP="009B5C55">
      <w:pPr>
        <w:pStyle w:val="Notas"/>
        <w:rPr>
          <w:rFonts w:asciiTheme="majorHAnsi" w:hAnsiTheme="majorHAnsi"/>
        </w:rPr>
      </w:pPr>
      <w:r w:rsidRPr="00AA0A2C">
        <w:rPr>
          <w:rFonts w:asciiTheme="majorHAnsi" w:hAnsiTheme="majorHAnsi"/>
        </w:rPr>
        <w:t>Fuente: Walsh Perú. S.A. Soluciones Ambientales para un Desarrollo Sostenible</w:t>
      </w:r>
    </w:p>
    <w:p w:rsidR="009B5C55" w:rsidRPr="00AA0A2C" w:rsidRDefault="009B5C55" w:rsidP="00CD1F06">
      <w:pPr>
        <w:rPr>
          <w:rFonts w:asciiTheme="majorHAnsi" w:hAnsiTheme="majorHAnsi"/>
        </w:rPr>
      </w:pPr>
    </w:p>
    <w:p w:rsidR="00CD1F06" w:rsidRPr="00AA0A2C" w:rsidRDefault="00CD1F06" w:rsidP="009B5C55">
      <w:pPr>
        <w:pStyle w:val="Ttulo2"/>
        <w:rPr>
          <w:rFonts w:asciiTheme="majorHAnsi" w:hAnsiTheme="majorHAnsi"/>
        </w:rPr>
      </w:pPr>
      <w:bookmarkStart w:id="18" w:name="_Toc381349795"/>
      <w:bookmarkStart w:id="19" w:name="_Toc445192920"/>
      <w:bookmarkEnd w:id="16"/>
      <w:bookmarkEnd w:id="17"/>
      <w:r w:rsidRPr="00AA0A2C">
        <w:rPr>
          <w:rFonts w:asciiTheme="majorHAnsi" w:hAnsiTheme="majorHAnsi"/>
        </w:rPr>
        <w:t>VALORACIÓN ECONÓMICA DE LOS IMPACTOS AMBIENTALES</w:t>
      </w:r>
      <w:bookmarkEnd w:id="18"/>
      <w:bookmarkEnd w:id="19"/>
    </w:p>
    <w:p w:rsidR="00CD1F06" w:rsidRPr="00AA0A2C" w:rsidRDefault="00CD1F06" w:rsidP="00CD1F06">
      <w:pPr>
        <w:rPr>
          <w:rFonts w:asciiTheme="majorHAnsi" w:hAnsiTheme="majorHAnsi"/>
        </w:rPr>
      </w:pPr>
    </w:p>
    <w:p w:rsidR="00CD1F06" w:rsidRPr="00AA0A2C" w:rsidRDefault="00CD1F06" w:rsidP="007F16FC">
      <w:pPr>
        <w:pStyle w:val="Ttulo3"/>
        <w:rPr>
          <w:rFonts w:asciiTheme="majorHAnsi" w:hAnsiTheme="majorHAnsi"/>
        </w:rPr>
      </w:pPr>
      <w:bookmarkStart w:id="20" w:name="_Toc445192921"/>
      <w:r w:rsidRPr="00AA0A2C">
        <w:rPr>
          <w:rFonts w:asciiTheme="majorHAnsi" w:hAnsiTheme="majorHAnsi"/>
        </w:rPr>
        <w:t>Marco Teórico de la Valoración Económica de Impactos Ambientales</w:t>
      </w:r>
      <w:bookmarkEnd w:id="20"/>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La Evaluación Económica de los de Impactos Ambientales, aunque de aplicación reciente en Colombia, se ha constituido en una valiosa herramienta para adelantar el análisis de las incidencias </w:t>
      </w:r>
      <w:r w:rsidR="00DA6FF5" w:rsidRPr="00AA0A2C">
        <w:rPr>
          <w:rFonts w:asciiTheme="majorHAnsi" w:hAnsiTheme="majorHAnsi"/>
        </w:rPr>
        <w:t>abióticas,</w:t>
      </w:r>
      <w:r w:rsidRPr="00AA0A2C">
        <w:rPr>
          <w:rFonts w:asciiTheme="majorHAnsi" w:hAnsiTheme="majorHAnsi"/>
        </w:rPr>
        <w:t xml:space="preserve"> bióticas y socioeconómicas de los proyectos sobre el medio ambiente y sus resultados permiten construir criterios que orienten a quienes toman las decisiones hacia el logro de un desarrollo económico sostenible, que cuide la cantidad y calidad de </w:t>
      </w:r>
      <w:r w:rsidR="00DA6FF5" w:rsidRPr="00AA0A2C">
        <w:rPr>
          <w:rFonts w:asciiTheme="majorHAnsi" w:hAnsiTheme="majorHAnsi"/>
        </w:rPr>
        <w:t>los bienes</w:t>
      </w:r>
      <w:r w:rsidRPr="00AA0A2C">
        <w:rPr>
          <w:rFonts w:asciiTheme="majorHAnsi" w:hAnsiTheme="majorHAnsi"/>
        </w:rPr>
        <w:t xml:space="preserve"> y servicios ambientales. De esta manera, la sociedad puede esperar que esas decisiones contemplen aspectos que no afecten su calidad de vida de forma sustancial, </w:t>
      </w:r>
      <w:r w:rsidR="00DA6FF5" w:rsidRPr="00AA0A2C">
        <w:rPr>
          <w:rFonts w:asciiTheme="majorHAnsi" w:hAnsiTheme="majorHAnsi"/>
        </w:rPr>
        <w:t>puesto que,</w:t>
      </w:r>
      <w:r w:rsidRPr="00AA0A2C">
        <w:rPr>
          <w:rFonts w:asciiTheme="majorHAnsi" w:hAnsiTheme="majorHAnsi"/>
        </w:rPr>
        <w:t xml:space="preserve"> si el Plan de Manejo Ambiental busca compensar, evitar, mitigar o corregir los impactos ambientales denominados internalizables, la evaluación económica o valoración económica de los impactos profundiza en el análisis de los impactos no internalizables, o dicho de otra forma, de las externalidades negativas y positivas de un proyecto.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En el concierto mundial se viene tratando de concientizar a los países sobre el replanteamiento del desarrollo económico, que tradicionalmente buscaba solamente expandir las actividades productivas sin incluir la dimensión ambiental y desde años recientes se ha adoptado el principio del “desarrollo sustentable” porque las consecuencias de los malos manejos de los recursos naturales y las intervenciones antrópicas han llevado a su depredación y a que se agoten, poniendo en riesgo la sobrevivencia humana.</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Los grandes acuerdos globales incluyen ya ese enfoque y las nuevas metodologías de evaluación de proyectos pasaron de la evaluación de impacto tradicional a la valoración monetaria de los costos y beneficios ambientales, cuando de emprender un proyecto se trata y sus resultados son fundamentales para que se determine si un proyecto debe realizarse o no.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Es más, se aboga por el fomento del uso racional de los recursos y el control de los impactos ambientales adversos derivados del desarrollo de actividades económicas. Por ello, se debe recoger la información ambiental crítica para analizar un proyecto</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Usualmente un proyecto tiene dos tipos de costos, los costos de inversión, operación y mantenimiento, que se incluyen en las evaluaciones económicas o estudios de factibilidad para decidir sobre la ejecución y los costos relacionados con la evaluación ambiental (bien sea DAA o EIA) que se exige en el proceso de licenciamiento de acuerdo con la normatividad vigente, que se consignan en el Plan de Manejo Ambiental y corresponden a los impactos denominados internalizables.</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Dentro del conjunto de impactos identificados existen otros denominados no internalizables cuya valoración exige un enfoque diferente para expresar en unidades monetarias las afectaciones ambientales y poderlos incluir dentro del análisis de beneficios y costos económicos del proyecto.</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Así, la evaluación económica de impactos ambientales evidencia tanto los costos como los beneficios y poder luego relacionarlos para establecer cuál de los dos es mayor, concluyendo </w:t>
      </w:r>
      <w:r w:rsidR="00DA6FF5" w:rsidRPr="00AA0A2C">
        <w:rPr>
          <w:rFonts w:asciiTheme="majorHAnsi" w:hAnsiTheme="majorHAnsi"/>
        </w:rPr>
        <w:t>que,</w:t>
      </w:r>
      <w:r w:rsidRPr="00AA0A2C">
        <w:rPr>
          <w:rFonts w:asciiTheme="majorHAnsi" w:hAnsiTheme="majorHAnsi"/>
        </w:rPr>
        <w:t xml:space="preserve"> si los costos son superiores, la recomendación es la de no ejecutar el proyecto por </w:t>
      </w:r>
      <w:r w:rsidR="00DA6FF5" w:rsidRPr="00AA0A2C">
        <w:rPr>
          <w:rFonts w:asciiTheme="majorHAnsi" w:hAnsiTheme="majorHAnsi"/>
        </w:rPr>
        <w:t>su afectación</w:t>
      </w:r>
      <w:r w:rsidRPr="00AA0A2C">
        <w:rPr>
          <w:rFonts w:asciiTheme="majorHAnsi" w:hAnsiTheme="majorHAnsi"/>
        </w:rPr>
        <w:t xml:space="preserve"> a los recursos naturales y a los bienes y servicios ambientales y por tanto la calidad de vida humana. </w:t>
      </w:r>
      <w:r w:rsidR="00DA6FF5" w:rsidRPr="00AA0A2C">
        <w:rPr>
          <w:rFonts w:asciiTheme="majorHAnsi" w:hAnsiTheme="majorHAnsi"/>
        </w:rPr>
        <w:t>Si,</w:t>
      </w:r>
      <w:r w:rsidRPr="00AA0A2C">
        <w:rPr>
          <w:rFonts w:asciiTheme="majorHAnsi" w:hAnsiTheme="majorHAnsi"/>
        </w:rPr>
        <w:t xml:space="preserve"> por el contrario, los beneficios son más </w:t>
      </w:r>
      <w:r w:rsidR="00DA6FF5" w:rsidRPr="00AA0A2C">
        <w:rPr>
          <w:rFonts w:asciiTheme="majorHAnsi" w:hAnsiTheme="majorHAnsi"/>
        </w:rPr>
        <w:t>elevados se</w:t>
      </w:r>
      <w:r w:rsidRPr="00AA0A2C">
        <w:rPr>
          <w:rFonts w:asciiTheme="majorHAnsi" w:hAnsiTheme="majorHAnsi"/>
        </w:rPr>
        <w:t xml:space="preserve"> recomendará como viable el proyecto, desde la perspectiva ambiental.</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Este tipo de evaluación es útil para medir la eficiencia económica en la asignación de recursos en diversas actividades productivas que usan al medio ambiente y los recursos naturales como insumos de producción.  Existe un amplio marco teórico que combina los aportes de las metodologías de la economía del bienestar aplicado, la economía pública y la economía ambiental, que suministra las bases para que el evaluador proponga las mediciones de los costos y de los beneficios ambientales derivados de la ejecución de un determinado proyecto.</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De ahí se desprenden deducciones valiosas para proveer criterios que faciliten el proceso </w:t>
      </w:r>
      <w:r w:rsidR="00DA6FF5" w:rsidRPr="00AA0A2C">
        <w:rPr>
          <w:rFonts w:asciiTheme="majorHAnsi" w:hAnsiTheme="majorHAnsi"/>
        </w:rPr>
        <w:t>de toma</w:t>
      </w:r>
      <w:r w:rsidRPr="00AA0A2C">
        <w:rPr>
          <w:rFonts w:asciiTheme="majorHAnsi" w:hAnsiTheme="majorHAnsi"/>
        </w:rPr>
        <w:t xml:space="preserve"> de decisiones sobre cómo se debe adelantar un proyecto, de tal forma que sea conveniente tanto para el inversionista privado como para la sociedad, dentro de un contexto de desarrollo sustentable.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Bajo estas premisas, la valoración económica de impactos ambientales se puede considerar como todo intento de asignar valores cuantitativos a los bienes y servicios proporcionados por los recursos ambientales, independientemente de si existen o no precios de mercado que nos ayuden a hacerlo. Muchas veces la valoración económica de los impactos ambientales puede ser compleja por ausencia de información o por la incertidumbre en el funcionamiento del ecosistema.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El valor económico del medio ambiente se deriva de los bienes y servicios que este provee para los seres humanos y es la suma del Valor Presente de los flujos de productos y servicios a través del tiempo que provienen del medio ambiente (Freeman, 1995). Cuando hay intervenciones antrópicas, se puede ocasionar daño ambiental que </w:t>
      </w:r>
      <w:r w:rsidR="00DA6FF5" w:rsidRPr="00AA0A2C">
        <w:rPr>
          <w:rFonts w:asciiTheme="majorHAnsi" w:hAnsiTheme="majorHAnsi"/>
        </w:rPr>
        <w:t>se define</w:t>
      </w:r>
      <w:r w:rsidRPr="00AA0A2C">
        <w:rPr>
          <w:rFonts w:asciiTheme="majorHAnsi" w:hAnsiTheme="majorHAnsi"/>
        </w:rPr>
        <w:t xml:space="preserve"> como aquel que altera el valor económico del medio ambiente al interrumpir o destruir estos flujos de servicios y productos (Koop y Smith, 1993).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De otra parte, la valoración económica no incluye solo los beneficios o costos asociados al consumo o uso del medio ambiente, sino que además considera los valores asociados a la opción eventual de poder disfrutar del recurso en el futuro, no importa si esta se hace realidad o no. Sobre este punto, la literatura especializada define los valores de existencia, es decir, los beneficios asociados con la existencia de una especie en su respectivo hábitat natural.  La valoración económica de impactos ambientales implica la obtención del Valor Económico Total (VET), el </w:t>
      </w:r>
      <w:r w:rsidR="00DA6FF5" w:rsidRPr="00AA0A2C">
        <w:rPr>
          <w:rFonts w:asciiTheme="majorHAnsi" w:hAnsiTheme="majorHAnsi"/>
        </w:rPr>
        <w:t>cual comprende</w:t>
      </w:r>
      <w:r w:rsidRPr="00AA0A2C">
        <w:rPr>
          <w:rFonts w:asciiTheme="majorHAnsi" w:hAnsiTheme="majorHAnsi"/>
        </w:rPr>
        <w:t xml:space="preserve"> el Valor de Uso (VU) y el Valor de No-Uso (VNU) del recurso; y busca abarcar los valores que son monetizables y los que no lo son. En la siguiente Figura se ilustran los diferentes valores del medio ambiente.</w:t>
      </w:r>
    </w:p>
    <w:tbl>
      <w:tblPr>
        <w:tblW w:w="0" w:type="auto"/>
        <w:jc w:val="center"/>
        <w:tblCellMar>
          <w:left w:w="70" w:type="dxa"/>
          <w:right w:w="70" w:type="dxa"/>
        </w:tblCellMar>
        <w:tblLook w:val="0000" w:firstRow="0" w:lastRow="0" w:firstColumn="0" w:lastColumn="0" w:noHBand="0" w:noVBand="0"/>
      </w:tblPr>
      <w:tblGrid>
        <w:gridCol w:w="8090"/>
      </w:tblGrid>
      <w:tr w:rsidR="00DA6FF5" w:rsidRPr="00AA0A2C" w:rsidTr="00E3412B">
        <w:trPr>
          <w:trHeight w:val="2800"/>
          <w:jc w:val="center"/>
        </w:trPr>
        <w:tc>
          <w:tcPr>
            <w:tcW w:w="2800" w:type="dxa"/>
            <w:shd w:val="clear" w:color="auto" w:fill="auto"/>
            <w:vAlign w:val="center"/>
          </w:tcPr>
          <w:p w:rsidR="00DA6FF5" w:rsidRPr="00AA0A2C" w:rsidRDefault="00DA6FF5" w:rsidP="00E3412B">
            <w:pPr>
              <w:keepNext/>
              <w:jc w:val="center"/>
              <w:rPr>
                <w:rFonts w:asciiTheme="majorHAnsi" w:hAnsiTheme="majorHAnsi"/>
                <w:kern w:val="32"/>
              </w:rPr>
            </w:pPr>
            <w:r w:rsidRPr="00AA0A2C">
              <w:rPr>
                <w:rFonts w:asciiTheme="majorHAnsi" w:hAnsiTheme="majorHAnsi"/>
                <w:noProof/>
                <w:kern w:val="32"/>
                <w:lang w:eastAsia="es-CO"/>
              </w:rPr>
              <w:drawing>
                <wp:inline distT="0" distB="0" distL="0" distR="0" wp14:anchorId="127F1213" wp14:editId="2FE526F0">
                  <wp:extent cx="5040000" cy="2244199"/>
                  <wp:effectExtent l="0" t="0" r="8255" b="3810"/>
                  <wp:docPr id="512" name="Imagen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000" cy="2244199"/>
                          </a:xfrm>
                          <a:prstGeom prst="rect">
                            <a:avLst/>
                          </a:prstGeom>
                          <a:noFill/>
                        </pic:spPr>
                      </pic:pic>
                    </a:graphicData>
                  </a:graphic>
                </wp:inline>
              </w:drawing>
            </w:r>
          </w:p>
        </w:tc>
      </w:tr>
    </w:tbl>
    <w:p w:rsidR="00DA6FF5" w:rsidRPr="00AA0A2C" w:rsidRDefault="00DA6FF5" w:rsidP="00DA6FF5">
      <w:pPr>
        <w:pStyle w:val="Tablas"/>
        <w:rPr>
          <w:rFonts w:asciiTheme="majorHAnsi" w:hAnsiTheme="majorHAnsi"/>
        </w:rPr>
      </w:pPr>
      <w:r w:rsidRPr="00AA0A2C">
        <w:rPr>
          <w:rFonts w:asciiTheme="majorHAnsi" w:hAnsiTheme="majorHAnsi"/>
        </w:rPr>
        <w:t xml:space="preserve">Figura </w:t>
      </w:r>
      <w:r w:rsidRPr="00AA0A2C">
        <w:rPr>
          <w:rFonts w:asciiTheme="majorHAnsi" w:hAnsiTheme="majorHAnsi"/>
        </w:rPr>
        <w:fldChar w:fldCharType="begin"/>
      </w:r>
      <w:r w:rsidRPr="00AA0A2C">
        <w:rPr>
          <w:rFonts w:asciiTheme="majorHAnsi" w:hAnsiTheme="majorHAnsi"/>
        </w:rPr>
        <w:instrText xml:space="preserve"> STYLEREF 1 \s </w:instrText>
      </w:r>
      <w:r w:rsidRPr="00AA0A2C">
        <w:rPr>
          <w:rFonts w:asciiTheme="majorHAnsi" w:hAnsiTheme="majorHAnsi"/>
        </w:rPr>
        <w:fldChar w:fldCharType="separate"/>
      </w:r>
      <w:r w:rsidR="0010296A">
        <w:rPr>
          <w:rFonts w:asciiTheme="majorHAnsi" w:hAnsiTheme="majorHAnsi"/>
          <w:noProof/>
        </w:rPr>
        <w:t>10</w:t>
      </w:r>
      <w:r w:rsidRPr="00AA0A2C">
        <w:rPr>
          <w:rFonts w:asciiTheme="majorHAnsi" w:hAnsiTheme="majorHAnsi"/>
          <w:noProof/>
        </w:rPr>
        <w:fldChar w:fldCharType="end"/>
      </w:r>
      <w:r w:rsidRPr="00AA0A2C">
        <w:rPr>
          <w:rFonts w:asciiTheme="majorHAnsi" w:hAnsiTheme="majorHAnsi"/>
        </w:rPr>
        <w:t>.</w:t>
      </w:r>
      <w:r w:rsidRPr="00AA0A2C">
        <w:rPr>
          <w:rFonts w:asciiTheme="majorHAnsi" w:hAnsiTheme="majorHAnsi"/>
        </w:rPr>
        <w:fldChar w:fldCharType="begin"/>
      </w:r>
      <w:r w:rsidRPr="00AA0A2C">
        <w:rPr>
          <w:rFonts w:asciiTheme="majorHAnsi" w:hAnsiTheme="majorHAnsi"/>
        </w:rPr>
        <w:instrText xml:space="preserve"> SEQ Figura \* ARABIC \s 1 </w:instrText>
      </w:r>
      <w:r w:rsidRPr="00AA0A2C">
        <w:rPr>
          <w:rFonts w:asciiTheme="majorHAnsi" w:hAnsiTheme="majorHAnsi"/>
        </w:rPr>
        <w:fldChar w:fldCharType="separate"/>
      </w:r>
      <w:r w:rsidR="0010296A">
        <w:rPr>
          <w:rFonts w:asciiTheme="majorHAnsi" w:hAnsiTheme="majorHAnsi"/>
          <w:noProof/>
        </w:rPr>
        <w:t>3</w:t>
      </w:r>
      <w:r w:rsidRPr="00AA0A2C">
        <w:rPr>
          <w:rFonts w:asciiTheme="majorHAnsi" w:hAnsiTheme="majorHAnsi"/>
          <w:noProof/>
        </w:rPr>
        <w:fldChar w:fldCharType="end"/>
      </w:r>
      <w:r w:rsidRPr="00AA0A2C">
        <w:rPr>
          <w:rFonts w:asciiTheme="majorHAnsi" w:hAnsiTheme="majorHAnsi"/>
        </w:rPr>
        <w:t xml:space="preserve"> </w:t>
      </w:r>
      <w:r w:rsidR="007F16FC" w:rsidRPr="00AA0A2C">
        <w:rPr>
          <w:rFonts w:asciiTheme="majorHAnsi" w:hAnsiTheme="majorHAnsi"/>
        </w:rPr>
        <w:t>Valores del Medio Ambiente</w:t>
      </w:r>
    </w:p>
    <w:p w:rsidR="00DA6FF5" w:rsidRPr="00AA0A2C" w:rsidRDefault="00DA6FF5" w:rsidP="00DA6FF5">
      <w:pPr>
        <w:pStyle w:val="Notas"/>
        <w:rPr>
          <w:rFonts w:asciiTheme="majorHAnsi" w:hAnsiTheme="majorHAnsi"/>
        </w:rPr>
      </w:pPr>
      <w:r w:rsidRPr="00AA0A2C">
        <w:rPr>
          <w:rFonts w:asciiTheme="majorHAnsi" w:hAnsiTheme="majorHAnsi"/>
        </w:rPr>
        <w:t xml:space="preserve">Fuente: </w:t>
      </w:r>
      <w:r w:rsidR="007F16FC" w:rsidRPr="00AA0A2C">
        <w:rPr>
          <w:rFonts w:asciiTheme="majorHAnsi" w:hAnsiTheme="majorHAnsi"/>
        </w:rPr>
        <w:t>lt, Ruta y Sarraf (2005); Freeman (2003), Chapman et al (2003).</w:t>
      </w:r>
    </w:p>
    <w:p w:rsidR="00DA6FF5" w:rsidRPr="00AA0A2C" w:rsidRDefault="00DA6FF5" w:rsidP="00CD1F06">
      <w:pPr>
        <w:rPr>
          <w:rFonts w:asciiTheme="majorHAnsi" w:hAnsiTheme="majorHAnsi"/>
        </w:rPr>
      </w:pPr>
    </w:p>
    <w:p w:rsidR="00CD1F06" w:rsidRPr="00AA0A2C" w:rsidRDefault="00CD1F06" w:rsidP="007F16FC">
      <w:pPr>
        <w:pStyle w:val="Ttulo4"/>
        <w:rPr>
          <w:rFonts w:asciiTheme="majorHAnsi" w:hAnsiTheme="majorHAnsi"/>
        </w:rPr>
      </w:pPr>
      <w:r w:rsidRPr="00AA0A2C">
        <w:rPr>
          <w:rFonts w:asciiTheme="majorHAnsi" w:hAnsiTheme="majorHAnsi"/>
        </w:rPr>
        <w:t xml:space="preserve">Valor de Uso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Se asocia con algún tipo de interacción entre el hombre y el medio natural, y tiene que ver con el bienestar que tal uso proporciona a los agentes económicos. Puede adquirir las </w:t>
      </w:r>
      <w:r w:rsidR="007F16FC" w:rsidRPr="00AA0A2C">
        <w:rPr>
          <w:rFonts w:asciiTheme="majorHAnsi" w:hAnsiTheme="majorHAnsi"/>
        </w:rPr>
        <w:t>cuatro</w:t>
      </w:r>
      <w:r w:rsidRPr="00AA0A2C">
        <w:rPr>
          <w:rFonts w:asciiTheme="majorHAnsi" w:hAnsiTheme="majorHAnsi"/>
        </w:rPr>
        <w:t xml:space="preserve"> formas siguientes:</w:t>
      </w:r>
    </w:p>
    <w:p w:rsidR="00CD1F06" w:rsidRPr="00AA0A2C" w:rsidRDefault="00CD1F06" w:rsidP="00CD1F06">
      <w:pPr>
        <w:rPr>
          <w:rFonts w:asciiTheme="majorHAnsi" w:hAnsiTheme="majorHAnsi"/>
        </w:rPr>
      </w:pPr>
    </w:p>
    <w:p w:rsidR="00CD1F06" w:rsidRPr="00AA0A2C" w:rsidRDefault="00CD1F06" w:rsidP="007F16FC">
      <w:pPr>
        <w:pStyle w:val="Ttulo5"/>
        <w:rPr>
          <w:rFonts w:asciiTheme="majorHAnsi" w:hAnsiTheme="majorHAnsi"/>
        </w:rPr>
      </w:pPr>
      <w:r w:rsidRPr="00AA0A2C">
        <w:rPr>
          <w:rFonts w:asciiTheme="majorHAnsi" w:hAnsiTheme="majorHAnsi"/>
        </w:rPr>
        <w:t>Valor de Uso Directo (VUD)</w:t>
      </w:r>
    </w:p>
    <w:p w:rsidR="00CD1F06" w:rsidRPr="00AA0A2C" w:rsidRDefault="00CD1F06" w:rsidP="00CD1F06">
      <w:pPr>
        <w:rPr>
          <w:rFonts w:asciiTheme="majorHAnsi" w:hAnsiTheme="majorHAnsi"/>
        </w:rPr>
      </w:pPr>
      <w:r w:rsidRPr="00AA0A2C">
        <w:rPr>
          <w:rFonts w:asciiTheme="majorHAnsi" w:hAnsiTheme="majorHAnsi"/>
        </w:rPr>
        <w:t>Corresponde al aprovechamiento más rentable, o más común, o más frecuente del recurso. Debe anotarse que tal Uso Directo puede ser comercial o no-comercial. Muchos de los usos alternativos pueden ser importantes, como las necesidades de subsistencia de las comunidades locales, o para el deporte de montaña, o un valor paisajístico excepcional, por ejemplo. No se restringe, pues, a aquello que significa valor en términos de ganancia privada. Por otro lado, en los usos comerciales, esto puede tener relevancia tanto para los mercados locales como para los internacionales.</w:t>
      </w:r>
    </w:p>
    <w:p w:rsidR="00CD1F06" w:rsidRPr="00AA0A2C" w:rsidRDefault="00CD1F06" w:rsidP="00CD1F06">
      <w:pPr>
        <w:rPr>
          <w:rFonts w:asciiTheme="majorHAnsi" w:hAnsiTheme="majorHAnsi"/>
        </w:rPr>
      </w:pPr>
    </w:p>
    <w:p w:rsidR="00CD1F06" w:rsidRPr="00AA0A2C" w:rsidRDefault="00CD1F06" w:rsidP="007F16FC">
      <w:pPr>
        <w:pStyle w:val="Ttulo5"/>
        <w:rPr>
          <w:rFonts w:asciiTheme="majorHAnsi" w:hAnsiTheme="majorHAnsi"/>
        </w:rPr>
      </w:pPr>
      <w:r w:rsidRPr="00AA0A2C">
        <w:rPr>
          <w:rFonts w:asciiTheme="majorHAnsi" w:hAnsiTheme="majorHAnsi"/>
        </w:rPr>
        <w:t xml:space="preserve">Valor de Uso Indirecto (VUI) </w:t>
      </w:r>
    </w:p>
    <w:p w:rsidR="00CD1F06" w:rsidRPr="00AA0A2C" w:rsidRDefault="00CD1F06" w:rsidP="00CD1F06">
      <w:pPr>
        <w:rPr>
          <w:rFonts w:asciiTheme="majorHAnsi" w:hAnsiTheme="majorHAnsi"/>
        </w:rPr>
      </w:pPr>
      <w:r w:rsidRPr="00AA0A2C">
        <w:rPr>
          <w:rFonts w:asciiTheme="majorHAnsi" w:hAnsiTheme="majorHAnsi"/>
        </w:rPr>
        <w:t>Corresponde al valor de las funciones ecológicas o ecosistémicas, como lo plantean la mayoría de los autores (Pearce et al, 1994; Barbier et al, 1996). Estas funciones ecológicas cumplen un rol de regulador o de apoyo a las actividades económicas que se asocian al recurso. El mayor problema con el Uso Indirecto es su casi total ausencia de los mercados, por lo que es difícil darle valor y no se le considera normalmente en la toma de decisiones económicas.</w:t>
      </w:r>
    </w:p>
    <w:p w:rsidR="00CD1F06" w:rsidRPr="00AA0A2C" w:rsidRDefault="00CD1F06" w:rsidP="00CD1F06">
      <w:pPr>
        <w:rPr>
          <w:rFonts w:asciiTheme="majorHAnsi" w:hAnsiTheme="majorHAnsi"/>
        </w:rPr>
      </w:pPr>
    </w:p>
    <w:p w:rsidR="00CD1F06" w:rsidRPr="00AA0A2C" w:rsidRDefault="00CD1F06" w:rsidP="007F16FC">
      <w:pPr>
        <w:pStyle w:val="Ttulo5"/>
        <w:rPr>
          <w:rFonts w:asciiTheme="majorHAnsi" w:hAnsiTheme="majorHAnsi"/>
        </w:rPr>
      </w:pPr>
      <w:r w:rsidRPr="00AA0A2C">
        <w:rPr>
          <w:rFonts w:asciiTheme="majorHAnsi" w:hAnsiTheme="majorHAnsi"/>
        </w:rPr>
        <w:t xml:space="preserve">Valor de Opción (VO) </w:t>
      </w:r>
    </w:p>
    <w:p w:rsidR="00CD1F06" w:rsidRPr="00AA0A2C" w:rsidRDefault="00CD1F06" w:rsidP="00CD1F06">
      <w:pPr>
        <w:rPr>
          <w:rFonts w:asciiTheme="majorHAnsi" w:hAnsiTheme="majorHAnsi"/>
        </w:rPr>
      </w:pPr>
      <w:r w:rsidRPr="00AA0A2C">
        <w:rPr>
          <w:rFonts w:asciiTheme="majorHAnsi" w:hAnsiTheme="majorHAnsi"/>
        </w:rPr>
        <w:t xml:space="preserve">Corresponde a lo que los individuos están dispuestos a pagar para postergar el uso actual y permitir el uso futuro del recurso. Es decir, no para usarlo hoy sino mañana, en cualquiera de las posibilidades señaladas. Es algo así como un seguro, cuyo objetivo es precaverse ante un futuro incierto; pero que contempla igual su uso. Algunos autores (Barbier et al, 1996) hablan también de Valor de Cuasi-Opción, para hacer referencia al tema específico de la información, que puede ser útil hoy para la planificación de desarrollos futuros. </w:t>
      </w:r>
    </w:p>
    <w:p w:rsidR="00CD1F06" w:rsidRPr="00AA0A2C" w:rsidRDefault="00CD1F06" w:rsidP="00CD1F06">
      <w:pPr>
        <w:rPr>
          <w:rFonts w:asciiTheme="majorHAnsi" w:hAnsiTheme="majorHAnsi"/>
        </w:rPr>
      </w:pPr>
    </w:p>
    <w:p w:rsidR="00CD1F06" w:rsidRPr="00AA0A2C" w:rsidRDefault="00CD1F06" w:rsidP="007F16FC">
      <w:pPr>
        <w:pStyle w:val="Ttulo5"/>
        <w:rPr>
          <w:rFonts w:asciiTheme="majorHAnsi" w:hAnsiTheme="majorHAnsi"/>
        </w:rPr>
      </w:pPr>
      <w:r w:rsidRPr="00AA0A2C">
        <w:rPr>
          <w:rFonts w:asciiTheme="majorHAnsi" w:hAnsiTheme="majorHAnsi"/>
        </w:rPr>
        <w:t>Valor de existencia (VE)</w:t>
      </w:r>
    </w:p>
    <w:p w:rsidR="00CD1F06" w:rsidRPr="00AA0A2C" w:rsidRDefault="00CD1F06" w:rsidP="00CD1F06">
      <w:pPr>
        <w:rPr>
          <w:rFonts w:asciiTheme="majorHAnsi" w:hAnsiTheme="majorHAnsi"/>
        </w:rPr>
      </w:pPr>
      <w:r w:rsidRPr="00AA0A2C">
        <w:rPr>
          <w:rFonts w:asciiTheme="majorHAnsi" w:hAnsiTheme="majorHAnsi"/>
        </w:rPr>
        <w:t xml:space="preserve">Corresponde al asignado por los individuos atribuidos a razones éticas, culturales o altruistas, y que equivale a lo que están  dispuestos a pagar para que no se utilice el recurso ambiental, lo cual indica que no tiene relación con usos actuales o futuros, es decir, no  implica interacciones hombre-medio (Valor de No uso), también puede asociarse al Valor de Legado (VL) o de herencia que corresponde al deseo de ciertos individuos de mantener los recursos ambientales intactos, con el fin de que las decisiones de uso o no de los recursos sean tomadas por los herederos y  las generaciones futuras.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De acuerdo con las definiciones anteriores, </w:t>
      </w:r>
      <w:r w:rsidR="007F16FC" w:rsidRPr="00AA0A2C">
        <w:rPr>
          <w:rFonts w:asciiTheme="majorHAnsi" w:hAnsiTheme="majorHAnsi"/>
        </w:rPr>
        <w:t>el Valor</w:t>
      </w:r>
      <w:r w:rsidRPr="00AA0A2C">
        <w:rPr>
          <w:rFonts w:asciiTheme="majorHAnsi" w:hAnsiTheme="majorHAnsi"/>
        </w:rPr>
        <w:t xml:space="preserve"> Económico Total (VET) se expresa en la siguiente ecuación:</w:t>
      </w:r>
    </w:p>
    <w:p w:rsidR="00CD1F06" w:rsidRPr="00AA0A2C" w:rsidRDefault="00CD1F06" w:rsidP="00CD1F06">
      <w:pPr>
        <w:rPr>
          <w:rFonts w:asciiTheme="majorHAnsi" w:hAnsiTheme="majorHAnsi"/>
        </w:rPr>
      </w:pPr>
    </w:p>
    <w:p w:rsidR="00CD1F06" w:rsidRPr="00AA0A2C" w:rsidRDefault="00CD1F06" w:rsidP="007F16FC">
      <w:pPr>
        <w:jc w:val="center"/>
        <w:rPr>
          <w:rFonts w:asciiTheme="majorHAnsi" w:hAnsiTheme="majorHAnsi"/>
          <w:b/>
          <w:i/>
        </w:rPr>
      </w:pPr>
      <w:r w:rsidRPr="00AA0A2C">
        <w:rPr>
          <w:rFonts w:asciiTheme="majorHAnsi" w:hAnsiTheme="majorHAnsi"/>
          <w:b/>
          <w:i/>
        </w:rPr>
        <w:t>VET = VU + VNU = (VUD + VUI + VO) + (VE + VL)</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En esta ecuación se sintetizan los conceptos más aceptados para enfrentar la valorización económica de los recursos naturales y los impactos ambientales, su instrumentalización y su incorporación en la política de desarrollo y la toma de decisiones.</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La importancia del VET como concepto de valor se centra en el hecho de que cualquier tipo de recurso natural y/o ambiental se caracteriza por tener otros valores diferentes al valor de uso directo. Si solo se estiman valores de uso, se sub-estiman los verdaderos beneficios y/o costos ambientales, y esto generaría un gran sesgo en los estudios de análisis costo-beneficio ambiental de proyectos. La inclusión de estos valores evitaría la sub-estimación del verdadero valor del sistema ambiente - recursos. Con lo anterior se evita llegar a patrones de usos ineficientes de estos recursos por problemas de subvaloración.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El conocimiento de los diferentes tipos de valores que tiene el medio </w:t>
      </w:r>
      <w:r w:rsidR="007F16FC" w:rsidRPr="00AA0A2C">
        <w:rPr>
          <w:rFonts w:asciiTheme="majorHAnsi" w:hAnsiTheme="majorHAnsi"/>
        </w:rPr>
        <w:t>ambiente es</w:t>
      </w:r>
      <w:r w:rsidRPr="00AA0A2C">
        <w:rPr>
          <w:rFonts w:asciiTheme="majorHAnsi" w:hAnsiTheme="majorHAnsi"/>
        </w:rPr>
        <w:t xml:space="preserve"> fundamental para la selección de los métodos de valoración económica de los impactos, acorde con el alcance de los métodos y la disponibilidad de información.</w:t>
      </w:r>
    </w:p>
    <w:p w:rsidR="00CD1F06" w:rsidRPr="00AA0A2C" w:rsidRDefault="00CD1F06" w:rsidP="00CD1F06">
      <w:pPr>
        <w:rPr>
          <w:rFonts w:asciiTheme="majorHAnsi" w:hAnsiTheme="majorHAnsi"/>
        </w:rPr>
      </w:pPr>
      <w:bookmarkStart w:id="21" w:name="_Toc306385168"/>
      <w:bookmarkStart w:id="22" w:name="_Toc314065131"/>
      <w:bookmarkStart w:id="23" w:name="_Toc367786912"/>
    </w:p>
    <w:p w:rsidR="00CD1F06" w:rsidRPr="00AA0A2C" w:rsidRDefault="007F16FC" w:rsidP="007F16FC">
      <w:pPr>
        <w:pStyle w:val="Ttulo3"/>
        <w:rPr>
          <w:rFonts w:asciiTheme="majorHAnsi" w:hAnsiTheme="majorHAnsi"/>
        </w:rPr>
      </w:pPr>
      <w:bookmarkStart w:id="24" w:name="_Toc445192922"/>
      <w:r w:rsidRPr="00AA0A2C">
        <w:rPr>
          <w:rFonts w:asciiTheme="majorHAnsi" w:hAnsiTheme="majorHAnsi"/>
        </w:rPr>
        <w:t>Métodos de Valoración Económica de Impactos Ambientales Aplicados al Proyecto</w:t>
      </w:r>
      <w:bookmarkEnd w:id="21"/>
      <w:bookmarkEnd w:id="22"/>
      <w:bookmarkEnd w:id="23"/>
      <w:bookmarkEnd w:id="24"/>
    </w:p>
    <w:p w:rsidR="00CD1F06" w:rsidRPr="00AA0A2C" w:rsidRDefault="00CD1F06" w:rsidP="00CD1F06">
      <w:pPr>
        <w:rPr>
          <w:rFonts w:asciiTheme="majorHAnsi" w:hAnsiTheme="majorHAnsi"/>
        </w:rPr>
      </w:pPr>
    </w:p>
    <w:p w:rsidR="00CD1F06" w:rsidRDefault="00CD1F06" w:rsidP="00CD1F06">
      <w:pPr>
        <w:rPr>
          <w:rFonts w:asciiTheme="majorHAnsi" w:hAnsiTheme="majorHAnsi"/>
        </w:rPr>
      </w:pPr>
      <w:r w:rsidRPr="00AA0A2C">
        <w:rPr>
          <w:rFonts w:asciiTheme="majorHAnsi" w:hAnsiTheme="majorHAnsi"/>
        </w:rPr>
        <w:t>El avance de la economía ambiental ha permitido el desarrollo de metodologías para estimar con cierta precisión los costos (</w:t>
      </w:r>
      <w:r w:rsidR="007F16FC" w:rsidRPr="00AA0A2C">
        <w:rPr>
          <w:rFonts w:asciiTheme="majorHAnsi" w:hAnsiTheme="majorHAnsi"/>
        </w:rPr>
        <w:t>daños) y</w:t>
      </w:r>
      <w:r w:rsidRPr="00AA0A2C">
        <w:rPr>
          <w:rFonts w:asciiTheme="majorHAnsi" w:hAnsiTheme="majorHAnsi"/>
        </w:rPr>
        <w:t xml:space="preserve"> beneficios ambientales de los proyectos. Cada método tiene su alcance y requerimiento de información que depende del tipo de valor a estimar (uso, opción de uso y existencia) el cual a su vez depende del tipo de bien o servicio ambiental que se está tratando de valorar.  Por esta razón, es útil clasificar los impactos ambientales </w:t>
      </w:r>
      <w:r w:rsidR="007F16FC" w:rsidRPr="00AA0A2C">
        <w:rPr>
          <w:rFonts w:asciiTheme="majorHAnsi" w:hAnsiTheme="majorHAnsi"/>
        </w:rPr>
        <w:t>y la</w:t>
      </w:r>
      <w:r w:rsidRPr="00AA0A2C">
        <w:rPr>
          <w:rFonts w:asciiTheme="majorHAnsi" w:hAnsiTheme="majorHAnsi"/>
        </w:rPr>
        <w:t xml:space="preserve"> forma como ellos impactan de manera directa o indirecta al hombre y al ecosistema. Freeman (1979), establece las pautas para la clasificación de los impactos ambientales a partir del tipo de afectación que genera y que constituye el punto de partida para la selección del método de valoración más adecuado según la información disponible.</w:t>
      </w:r>
      <w:r w:rsidRPr="00AA0A2C">
        <w:rPr>
          <w:rFonts w:asciiTheme="majorHAnsi" w:hAnsiTheme="majorHAnsi"/>
          <w:vertAlign w:val="superscript"/>
        </w:rPr>
        <w:footnoteReference w:id="1"/>
      </w:r>
      <w:r w:rsidR="007F16FC" w:rsidRPr="00AA0A2C">
        <w:rPr>
          <w:rFonts w:asciiTheme="majorHAnsi" w:hAnsiTheme="majorHAnsi"/>
        </w:rPr>
        <w:t xml:space="preserve"> En l</w:t>
      </w:r>
      <w:r w:rsidRPr="00AA0A2C">
        <w:rPr>
          <w:rFonts w:asciiTheme="majorHAnsi" w:hAnsiTheme="majorHAnsi"/>
        </w:rPr>
        <w:t>a siguiente Figura se presenta un esquema de las metodologías de valoración ilustrativo de las herramientas teóricas disponibles.</w:t>
      </w:r>
    </w:p>
    <w:tbl>
      <w:tblPr>
        <w:tblW w:w="0" w:type="auto"/>
        <w:jc w:val="center"/>
        <w:tblCellMar>
          <w:left w:w="70" w:type="dxa"/>
          <w:right w:w="70" w:type="dxa"/>
        </w:tblCellMar>
        <w:tblLook w:val="0000" w:firstRow="0" w:lastRow="0" w:firstColumn="0" w:lastColumn="0" w:noHBand="0" w:noVBand="0"/>
      </w:tblPr>
      <w:tblGrid>
        <w:gridCol w:w="8090"/>
      </w:tblGrid>
      <w:tr w:rsidR="0006220F" w:rsidRPr="00AA0A2C" w:rsidTr="002B740B">
        <w:trPr>
          <w:trHeight w:val="2800"/>
          <w:jc w:val="center"/>
        </w:trPr>
        <w:tc>
          <w:tcPr>
            <w:tcW w:w="8090" w:type="dxa"/>
            <w:shd w:val="clear" w:color="auto" w:fill="auto"/>
            <w:vAlign w:val="center"/>
          </w:tcPr>
          <w:p w:rsidR="0006220F" w:rsidRPr="00AA0A2C" w:rsidRDefault="0006220F" w:rsidP="00E3412B">
            <w:pPr>
              <w:keepNext/>
              <w:jc w:val="center"/>
              <w:rPr>
                <w:rFonts w:asciiTheme="majorHAnsi" w:hAnsiTheme="majorHAnsi"/>
                <w:kern w:val="32"/>
              </w:rPr>
            </w:pPr>
            <w:r w:rsidRPr="00AA0A2C">
              <w:rPr>
                <w:rFonts w:asciiTheme="majorHAnsi" w:hAnsiTheme="majorHAnsi"/>
                <w:noProof/>
                <w:kern w:val="32"/>
                <w:lang w:eastAsia="es-CO"/>
              </w:rPr>
              <w:drawing>
                <wp:inline distT="0" distB="0" distL="0" distR="0" wp14:anchorId="05139C55" wp14:editId="5C6125DE">
                  <wp:extent cx="5040000" cy="3650873"/>
                  <wp:effectExtent l="0" t="0" r="8255" b="0"/>
                  <wp:docPr id="514" name="Imagen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000" cy="3650873"/>
                          </a:xfrm>
                          <a:prstGeom prst="rect">
                            <a:avLst/>
                          </a:prstGeom>
                          <a:noFill/>
                        </pic:spPr>
                      </pic:pic>
                    </a:graphicData>
                  </a:graphic>
                </wp:inline>
              </w:drawing>
            </w:r>
          </w:p>
        </w:tc>
      </w:tr>
    </w:tbl>
    <w:p w:rsidR="0006220F" w:rsidRPr="00AA0A2C" w:rsidRDefault="0006220F" w:rsidP="0006220F">
      <w:pPr>
        <w:pStyle w:val="Tablas"/>
        <w:rPr>
          <w:rFonts w:asciiTheme="majorHAnsi" w:hAnsiTheme="majorHAnsi"/>
        </w:rPr>
      </w:pPr>
      <w:r w:rsidRPr="00AA0A2C">
        <w:rPr>
          <w:rFonts w:asciiTheme="majorHAnsi" w:hAnsiTheme="majorHAnsi"/>
        </w:rPr>
        <w:t xml:space="preserve">Figura </w:t>
      </w:r>
      <w:r w:rsidRPr="00AA0A2C">
        <w:rPr>
          <w:rFonts w:asciiTheme="majorHAnsi" w:hAnsiTheme="majorHAnsi"/>
        </w:rPr>
        <w:fldChar w:fldCharType="begin"/>
      </w:r>
      <w:r w:rsidRPr="00AA0A2C">
        <w:rPr>
          <w:rFonts w:asciiTheme="majorHAnsi" w:hAnsiTheme="majorHAnsi"/>
        </w:rPr>
        <w:instrText xml:space="preserve"> STYLEREF 1 \s </w:instrText>
      </w:r>
      <w:r w:rsidRPr="00AA0A2C">
        <w:rPr>
          <w:rFonts w:asciiTheme="majorHAnsi" w:hAnsiTheme="majorHAnsi"/>
        </w:rPr>
        <w:fldChar w:fldCharType="separate"/>
      </w:r>
      <w:r w:rsidR="0010296A">
        <w:rPr>
          <w:rFonts w:asciiTheme="majorHAnsi" w:hAnsiTheme="majorHAnsi"/>
          <w:noProof/>
        </w:rPr>
        <w:t>10</w:t>
      </w:r>
      <w:r w:rsidRPr="00AA0A2C">
        <w:rPr>
          <w:rFonts w:asciiTheme="majorHAnsi" w:hAnsiTheme="majorHAnsi"/>
          <w:noProof/>
        </w:rPr>
        <w:fldChar w:fldCharType="end"/>
      </w:r>
      <w:r w:rsidRPr="00AA0A2C">
        <w:rPr>
          <w:rFonts w:asciiTheme="majorHAnsi" w:hAnsiTheme="majorHAnsi"/>
        </w:rPr>
        <w:t>.</w:t>
      </w:r>
      <w:r w:rsidRPr="00AA0A2C">
        <w:rPr>
          <w:rFonts w:asciiTheme="majorHAnsi" w:hAnsiTheme="majorHAnsi"/>
        </w:rPr>
        <w:fldChar w:fldCharType="begin"/>
      </w:r>
      <w:r w:rsidRPr="00AA0A2C">
        <w:rPr>
          <w:rFonts w:asciiTheme="majorHAnsi" w:hAnsiTheme="majorHAnsi"/>
        </w:rPr>
        <w:instrText xml:space="preserve"> SEQ Figura \* ARABIC \s 1 </w:instrText>
      </w:r>
      <w:r w:rsidRPr="00AA0A2C">
        <w:rPr>
          <w:rFonts w:asciiTheme="majorHAnsi" w:hAnsiTheme="majorHAnsi"/>
        </w:rPr>
        <w:fldChar w:fldCharType="separate"/>
      </w:r>
      <w:r w:rsidR="0010296A">
        <w:rPr>
          <w:rFonts w:asciiTheme="majorHAnsi" w:hAnsiTheme="majorHAnsi"/>
          <w:noProof/>
        </w:rPr>
        <w:t>4</w:t>
      </w:r>
      <w:r w:rsidRPr="00AA0A2C">
        <w:rPr>
          <w:rFonts w:asciiTheme="majorHAnsi" w:hAnsiTheme="majorHAnsi"/>
          <w:noProof/>
        </w:rPr>
        <w:fldChar w:fldCharType="end"/>
      </w:r>
      <w:r w:rsidRPr="00AA0A2C">
        <w:rPr>
          <w:rFonts w:asciiTheme="majorHAnsi" w:hAnsiTheme="majorHAnsi"/>
        </w:rPr>
        <w:t xml:space="preserve"> Metodologías de Valoración</w:t>
      </w:r>
    </w:p>
    <w:p w:rsidR="0006220F" w:rsidRPr="00AA0A2C" w:rsidRDefault="0006220F" w:rsidP="0006220F">
      <w:pPr>
        <w:pStyle w:val="Notas"/>
        <w:rPr>
          <w:rFonts w:asciiTheme="majorHAnsi" w:hAnsiTheme="majorHAnsi"/>
        </w:rPr>
      </w:pPr>
      <w:r w:rsidRPr="00AA0A2C">
        <w:rPr>
          <w:rFonts w:asciiTheme="majorHAnsi" w:hAnsiTheme="majorHAnsi"/>
        </w:rPr>
        <w:t>Fuente: MAVDT.CEDE – UNIANDES, 2010</w:t>
      </w:r>
    </w:p>
    <w:p w:rsidR="0006220F" w:rsidRPr="00AA0A2C" w:rsidRDefault="0006220F"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Cada método tiene su alcance y requerimiento de información que depende del tipo de valor a estimar (uso, opción de uso y existencia) el cual a su vez depende del tipo de bien o servicio ambiental que se está tratando de valorar.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Se trata de fomentar el manejo sostenible y sustentable de los recursos naturales y ambientales mediante el reconocimiento de los costos ambientales generados por un proyecto y evidenciando el costo de oportunidad que asume la sociedad en la producción de bienes y servicios en las economías de mercado. Así mismo, la determinación de los beneficios hace parte del análisis económico ambiental que pretende la generación de la sostenibilidad del capital natural, principio que se traduce en garantizar los niveles </w:t>
      </w:r>
      <w:r w:rsidR="0006220F" w:rsidRPr="00AA0A2C">
        <w:rPr>
          <w:rFonts w:asciiTheme="majorHAnsi" w:hAnsiTheme="majorHAnsi"/>
        </w:rPr>
        <w:t>de calidad</w:t>
      </w:r>
      <w:r w:rsidRPr="00AA0A2C">
        <w:rPr>
          <w:rFonts w:asciiTheme="majorHAnsi" w:hAnsiTheme="majorHAnsi"/>
        </w:rPr>
        <w:t xml:space="preserve"> ambiental que deben acompañar el desarrollo económico.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Por esta razón, es útil clasificar los impactos ambientales </w:t>
      </w:r>
      <w:r w:rsidR="0006220F" w:rsidRPr="00AA0A2C">
        <w:rPr>
          <w:rFonts w:asciiTheme="majorHAnsi" w:hAnsiTheme="majorHAnsi"/>
        </w:rPr>
        <w:t>y la</w:t>
      </w:r>
      <w:r w:rsidRPr="00AA0A2C">
        <w:rPr>
          <w:rFonts w:asciiTheme="majorHAnsi" w:hAnsiTheme="majorHAnsi"/>
        </w:rPr>
        <w:t xml:space="preserve"> forma como ellos impactan de manera directa o indirecta al hombre y al ecosistema. Freeman (1979), establece las pautas para la clasificación de los impactos ambientales a partir del tipo de afectación que genera y que constituye el punto de partida para la selección del método de valoración más adecuado según la información disponible. Dentro de las metodologías de valoración que </w:t>
      </w:r>
      <w:r w:rsidR="0006220F" w:rsidRPr="00AA0A2C">
        <w:rPr>
          <w:rFonts w:asciiTheme="majorHAnsi" w:hAnsiTheme="majorHAnsi"/>
        </w:rPr>
        <w:t>constituyen herramientas</w:t>
      </w:r>
      <w:r w:rsidRPr="00AA0A2C">
        <w:rPr>
          <w:rFonts w:asciiTheme="majorHAnsi" w:hAnsiTheme="majorHAnsi"/>
        </w:rPr>
        <w:t xml:space="preserve"> teóricas disponibles, se seleccionaron algunas que se estimaron como apropiadas para adelantar la valoración económica de los impactos tanto negativos (costos ambientales), como positivos (beneficios </w:t>
      </w:r>
      <w:r w:rsidR="0006220F" w:rsidRPr="00AA0A2C">
        <w:rPr>
          <w:rFonts w:asciiTheme="majorHAnsi" w:hAnsiTheme="majorHAnsi"/>
        </w:rPr>
        <w:t>ambientales) derivados</w:t>
      </w:r>
      <w:r w:rsidRPr="00AA0A2C">
        <w:rPr>
          <w:rFonts w:asciiTheme="majorHAnsi" w:hAnsiTheme="majorHAnsi"/>
        </w:rPr>
        <w:t xml:space="preserve"> de la ejecución del proyecto.</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Aunque el Manual del Ministerio de Ambiente recomienda </w:t>
      </w:r>
      <w:r w:rsidR="0006220F" w:rsidRPr="00AA0A2C">
        <w:rPr>
          <w:rFonts w:asciiTheme="majorHAnsi" w:hAnsiTheme="majorHAnsi"/>
        </w:rPr>
        <w:t>utilizar,</w:t>
      </w:r>
      <w:r w:rsidRPr="00AA0A2C">
        <w:rPr>
          <w:rFonts w:asciiTheme="majorHAnsi" w:hAnsiTheme="majorHAnsi"/>
        </w:rPr>
        <w:t xml:space="preserve"> además, otros métodos de valoración sobre preferencias reveladas y preferencias declaradas, no se emplean en este caso por las restricciones de tiempo para recolectar información primaria que sustente las estimaciones. Sin embargo, se considera que las mediciones de los costos y los beneficios ambientales aplicados al análisis de evaluación económica de los impactos generados por el Proyecto </w:t>
      </w:r>
      <w:r w:rsidR="0006220F" w:rsidRPr="00AA0A2C">
        <w:rPr>
          <w:rFonts w:asciiTheme="majorHAnsi" w:hAnsiTheme="majorHAnsi"/>
        </w:rPr>
        <w:t>Construcción de la Variante Puerto Berrío en los Departamentos de Antioquia y Santander</w:t>
      </w:r>
      <w:r w:rsidRPr="00AA0A2C">
        <w:rPr>
          <w:rFonts w:asciiTheme="majorHAnsi" w:hAnsiTheme="majorHAnsi"/>
        </w:rPr>
        <w:t>, guardan el rigor requerido para obtener resultados confiables.</w:t>
      </w:r>
    </w:p>
    <w:p w:rsidR="00CD1F06" w:rsidRPr="00AA0A2C" w:rsidRDefault="00CD1F06" w:rsidP="00CD1F06">
      <w:pPr>
        <w:rPr>
          <w:rFonts w:asciiTheme="majorHAnsi" w:hAnsiTheme="majorHAnsi"/>
        </w:rPr>
      </w:pPr>
      <w:bookmarkStart w:id="25" w:name="_Toc367786913"/>
    </w:p>
    <w:p w:rsidR="00CD1F06" w:rsidRPr="00AA0A2C" w:rsidRDefault="00CD1F06" w:rsidP="0006220F">
      <w:pPr>
        <w:pStyle w:val="Ttulo4"/>
        <w:rPr>
          <w:rFonts w:asciiTheme="majorHAnsi" w:hAnsiTheme="majorHAnsi"/>
        </w:rPr>
      </w:pPr>
      <w:r w:rsidRPr="00AA0A2C">
        <w:rPr>
          <w:rFonts w:asciiTheme="majorHAnsi" w:hAnsiTheme="majorHAnsi"/>
        </w:rPr>
        <w:t>Metodologías basadas en Precios de Mercado</w:t>
      </w:r>
      <w:bookmarkEnd w:id="25"/>
      <w:r w:rsidRPr="00AA0A2C">
        <w:rPr>
          <w:rFonts w:asciiTheme="majorHAnsi" w:hAnsiTheme="majorHAnsi"/>
        </w:rPr>
        <w:t xml:space="preserve">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El método de precio de mercado estima los valores económicos de los productos y/o servicios de los ecosistemas que son comprados y vendidos en los mercados comerciales, y es utilizado para cuantificar los cambios de valor en la cantidad o calidad de un bien o servicio. En este sentido, las metodologías basadas en precios de mercado, son: a) cambios en la productividad (usando precios económicos normales o corregidos - cuando existen distorsiones en los mercados -  de los bienes y/o servicios impactados), b) costos de enfermedad (cuantifica los costos en los que debe incurrir un </w:t>
      </w:r>
      <w:r w:rsidR="0006220F" w:rsidRPr="00AA0A2C">
        <w:rPr>
          <w:rFonts w:asciiTheme="majorHAnsi" w:hAnsiTheme="majorHAnsi"/>
        </w:rPr>
        <w:t>individuo para</w:t>
      </w:r>
      <w:r w:rsidRPr="00AA0A2C">
        <w:rPr>
          <w:rFonts w:asciiTheme="majorHAnsi" w:hAnsiTheme="majorHAnsi"/>
        </w:rPr>
        <w:t xml:space="preserve"> atender la enfermedad), y c) costos de capital humano (relaciona la pérdida de productividad de los seres humanos ocasionada por la muerte prematura). </w:t>
      </w:r>
    </w:p>
    <w:p w:rsidR="00CD1F06" w:rsidRPr="00AA0A2C" w:rsidRDefault="00CD1F06" w:rsidP="00CD1F06">
      <w:pPr>
        <w:rPr>
          <w:rFonts w:asciiTheme="majorHAnsi" w:hAnsiTheme="majorHAnsi"/>
        </w:rPr>
      </w:pPr>
    </w:p>
    <w:p w:rsidR="002B740B" w:rsidRDefault="002B740B">
      <w:pPr>
        <w:spacing w:line="240" w:lineRule="auto"/>
        <w:contextualSpacing w:val="0"/>
        <w:jc w:val="left"/>
        <w:rPr>
          <w:rFonts w:asciiTheme="majorHAnsi" w:eastAsia="Times New Roman" w:hAnsiTheme="majorHAnsi"/>
          <w:bCs/>
          <w:i/>
          <w:iCs/>
          <w:szCs w:val="26"/>
        </w:rPr>
      </w:pPr>
      <w:r>
        <w:rPr>
          <w:rFonts w:asciiTheme="majorHAnsi" w:hAnsiTheme="majorHAnsi"/>
        </w:rPr>
        <w:br w:type="page"/>
      </w:r>
    </w:p>
    <w:p w:rsidR="00CD1F06" w:rsidRPr="00AA0A2C" w:rsidRDefault="00CD1F06" w:rsidP="0006220F">
      <w:pPr>
        <w:pStyle w:val="Ttulo5"/>
        <w:rPr>
          <w:rFonts w:asciiTheme="majorHAnsi" w:hAnsiTheme="majorHAnsi"/>
        </w:rPr>
      </w:pPr>
      <w:r w:rsidRPr="00AA0A2C">
        <w:rPr>
          <w:rFonts w:asciiTheme="majorHAnsi" w:hAnsiTheme="majorHAnsi"/>
        </w:rPr>
        <w:t>Cambios en la Productividad</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Generalmente, la calidad de los bienes y/o servicios ambientales determina los niveles y cambios en la productividad de otros bienes de carácter mercadeable. Estos cambios en productividad generados a raíz de cambios en la calidad ambiental, se traducen en una pérdida de valor o ganancias en la producción. Algunos de los bienes o servicios ambientales que son utilizados bajo este enfoque como insumos en la producción, están relacionados con el grado de erosión del suelo, la contaminación del aire, la lluvia ácida, contaminación en peces, salinidad, entre otros.</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Con el fin de valorar estos cambios, se utilizan técnicas que consideran el bien/servicio ambiental como un insumo en la función de producción del bien/servicio privado. Así, tal como sucede con las funciones de producción tradicionales, si un insumo es deteriorado (por ejemplo, la calidad ambiental), se presentan pérdidas en las ganancias de los productores. Los cambios en la productividad pueden ser considerados como impactos no internalizables a la implementación de medidas de recuperación o mitigación, las cuales requieren de cierto tiempo para que el bien recupere todo su potencial productivo y en consecuencia habría una pérdida temporal de productividad.</w:t>
      </w:r>
    </w:p>
    <w:p w:rsidR="00CD1F06" w:rsidRPr="00AA0A2C" w:rsidRDefault="00CD1F06" w:rsidP="00CD1F06">
      <w:pPr>
        <w:rPr>
          <w:rFonts w:asciiTheme="majorHAnsi" w:hAnsiTheme="majorHAnsi"/>
        </w:rPr>
      </w:pPr>
    </w:p>
    <w:p w:rsidR="00CD1F06" w:rsidRPr="002B740B" w:rsidRDefault="00CD1F06" w:rsidP="00CD1F06">
      <w:pPr>
        <w:rPr>
          <w:rFonts w:asciiTheme="majorHAnsi" w:hAnsiTheme="majorHAnsi"/>
          <w:i/>
        </w:rPr>
      </w:pPr>
      <w:r w:rsidRPr="002B740B">
        <w:rPr>
          <w:rFonts w:asciiTheme="majorHAnsi" w:hAnsiTheme="majorHAnsi"/>
          <w:i/>
        </w:rPr>
        <w:t xml:space="preserve">Este método se aplicará en la valoración económica de las afectaciones a las actividades productivas pecuarias localizadas en el </w:t>
      </w:r>
      <w:r w:rsidR="0006220F" w:rsidRPr="002B740B">
        <w:rPr>
          <w:rFonts w:asciiTheme="majorHAnsi" w:hAnsiTheme="majorHAnsi"/>
          <w:i/>
        </w:rPr>
        <w:t xml:space="preserve">Área de Intervención </w:t>
      </w:r>
      <w:r w:rsidRPr="002B740B">
        <w:rPr>
          <w:rFonts w:asciiTheme="majorHAnsi" w:hAnsiTheme="majorHAnsi"/>
          <w:i/>
        </w:rPr>
        <w:t xml:space="preserve">del Proyecto </w:t>
      </w:r>
      <w:r w:rsidR="0006220F" w:rsidRPr="002B740B">
        <w:rPr>
          <w:rFonts w:asciiTheme="majorHAnsi" w:hAnsiTheme="majorHAnsi"/>
          <w:i/>
        </w:rPr>
        <w:t>Construcción de la Variante Puerto Berrío en los Departamentos de Antioquia y Santander</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Las medidas usadas para estimar cambios en la productividad se basan en el análisis tradicional de ingresos menos costos. Los cambios físicos en la producción debido a cambios ambientales son valorados usando precios de mercado para los insumos y productos. El valor económico derivado de este análisis debe ser incorporado en el análisis económico del megaproyecto. </w:t>
      </w:r>
      <w:r w:rsidR="0006220F" w:rsidRPr="00AA0A2C">
        <w:rPr>
          <w:rFonts w:asciiTheme="majorHAnsi" w:hAnsiTheme="majorHAnsi"/>
        </w:rPr>
        <w:t>La cuantificación monetaria de los efectos sobre la productividad sirve</w:t>
      </w:r>
      <w:r w:rsidRPr="00AA0A2C">
        <w:rPr>
          <w:rFonts w:asciiTheme="majorHAnsi" w:hAnsiTheme="majorHAnsi"/>
        </w:rPr>
        <w:t xml:space="preserve"> para agregar los resultados obtenidos dentro del análisis costo-beneficio del megaproyecto, con el fin de considerar las externalidades positivas y negativas que genere un megaproyecto económico, según sea el caso.</w:t>
      </w:r>
    </w:p>
    <w:p w:rsidR="00CD1F06" w:rsidRPr="00AA0A2C" w:rsidRDefault="00CD1F06" w:rsidP="00CD1F06">
      <w:pPr>
        <w:rPr>
          <w:rFonts w:asciiTheme="majorHAnsi" w:hAnsiTheme="majorHAnsi"/>
        </w:rPr>
      </w:pPr>
      <w:r w:rsidRPr="00AA0A2C">
        <w:rPr>
          <w:rFonts w:asciiTheme="majorHAnsi" w:hAnsiTheme="majorHAnsi"/>
        </w:rPr>
        <w:t>Los cambios en la productividad pueden ser considerados como impactos no internalizables a la implementación de medidas de recuperación o mitigación, las cuales requieren de cierto tiempo para que el bien recupere todo su potencial productivo y en consecuencia habría una pérdida temporal de productividad tal como se muestra en la siguiente Figura.</w:t>
      </w:r>
    </w:p>
    <w:p w:rsidR="00CD1F06" w:rsidRPr="00AA0A2C" w:rsidRDefault="00CD1F06" w:rsidP="00CD1F06">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5809"/>
      </w:tblGrid>
      <w:tr w:rsidR="0006220F" w:rsidRPr="00AA0A2C" w:rsidTr="00E3412B">
        <w:trPr>
          <w:trHeight w:val="2800"/>
          <w:jc w:val="center"/>
        </w:trPr>
        <w:tc>
          <w:tcPr>
            <w:tcW w:w="2800" w:type="dxa"/>
            <w:shd w:val="clear" w:color="auto" w:fill="auto"/>
            <w:vAlign w:val="center"/>
          </w:tcPr>
          <w:p w:rsidR="0006220F" w:rsidRPr="00AA0A2C" w:rsidRDefault="0006220F" w:rsidP="00E3412B">
            <w:pPr>
              <w:keepNext/>
              <w:jc w:val="center"/>
              <w:rPr>
                <w:rFonts w:asciiTheme="majorHAnsi" w:hAnsiTheme="majorHAnsi"/>
                <w:kern w:val="32"/>
              </w:rPr>
            </w:pPr>
            <w:r w:rsidRPr="00AA0A2C">
              <w:rPr>
                <w:rFonts w:asciiTheme="majorHAnsi" w:hAnsiTheme="majorHAnsi"/>
                <w:noProof/>
                <w:kern w:val="32"/>
                <w:lang w:eastAsia="es-CO"/>
              </w:rPr>
              <w:drawing>
                <wp:inline distT="0" distB="0" distL="0" distR="0" wp14:anchorId="15F6B04F" wp14:editId="33D68770">
                  <wp:extent cx="3600000" cy="2570618"/>
                  <wp:effectExtent l="0" t="0" r="0" b="0"/>
                  <wp:docPr id="517" name="Imagen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2570618"/>
                          </a:xfrm>
                          <a:prstGeom prst="rect">
                            <a:avLst/>
                          </a:prstGeom>
                          <a:noFill/>
                        </pic:spPr>
                      </pic:pic>
                    </a:graphicData>
                  </a:graphic>
                </wp:inline>
              </w:drawing>
            </w:r>
          </w:p>
        </w:tc>
      </w:tr>
    </w:tbl>
    <w:p w:rsidR="0006220F" w:rsidRPr="00AA0A2C" w:rsidRDefault="0006220F" w:rsidP="0006220F">
      <w:pPr>
        <w:pStyle w:val="Tablas"/>
        <w:rPr>
          <w:rFonts w:asciiTheme="majorHAnsi" w:hAnsiTheme="majorHAnsi"/>
        </w:rPr>
      </w:pPr>
      <w:r w:rsidRPr="00AA0A2C">
        <w:rPr>
          <w:rFonts w:asciiTheme="majorHAnsi" w:hAnsiTheme="majorHAnsi"/>
        </w:rPr>
        <w:t xml:space="preserve">Figura </w:t>
      </w:r>
      <w:r w:rsidRPr="00AA0A2C">
        <w:rPr>
          <w:rFonts w:asciiTheme="majorHAnsi" w:hAnsiTheme="majorHAnsi"/>
        </w:rPr>
        <w:fldChar w:fldCharType="begin"/>
      </w:r>
      <w:r w:rsidRPr="00AA0A2C">
        <w:rPr>
          <w:rFonts w:asciiTheme="majorHAnsi" w:hAnsiTheme="majorHAnsi"/>
        </w:rPr>
        <w:instrText xml:space="preserve"> STYLEREF 1 \s </w:instrText>
      </w:r>
      <w:r w:rsidRPr="00AA0A2C">
        <w:rPr>
          <w:rFonts w:asciiTheme="majorHAnsi" w:hAnsiTheme="majorHAnsi"/>
        </w:rPr>
        <w:fldChar w:fldCharType="separate"/>
      </w:r>
      <w:r w:rsidR="0010296A">
        <w:rPr>
          <w:rFonts w:asciiTheme="majorHAnsi" w:hAnsiTheme="majorHAnsi"/>
          <w:noProof/>
        </w:rPr>
        <w:t>10</w:t>
      </w:r>
      <w:r w:rsidRPr="00AA0A2C">
        <w:rPr>
          <w:rFonts w:asciiTheme="majorHAnsi" w:hAnsiTheme="majorHAnsi"/>
          <w:noProof/>
        </w:rPr>
        <w:fldChar w:fldCharType="end"/>
      </w:r>
      <w:r w:rsidRPr="00AA0A2C">
        <w:rPr>
          <w:rFonts w:asciiTheme="majorHAnsi" w:hAnsiTheme="majorHAnsi"/>
        </w:rPr>
        <w:t>.</w:t>
      </w:r>
      <w:r w:rsidRPr="00AA0A2C">
        <w:rPr>
          <w:rFonts w:asciiTheme="majorHAnsi" w:hAnsiTheme="majorHAnsi"/>
        </w:rPr>
        <w:fldChar w:fldCharType="begin"/>
      </w:r>
      <w:r w:rsidRPr="00AA0A2C">
        <w:rPr>
          <w:rFonts w:asciiTheme="majorHAnsi" w:hAnsiTheme="majorHAnsi"/>
        </w:rPr>
        <w:instrText xml:space="preserve"> SEQ Figura \* ARABIC \s 1 </w:instrText>
      </w:r>
      <w:r w:rsidRPr="00AA0A2C">
        <w:rPr>
          <w:rFonts w:asciiTheme="majorHAnsi" w:hAnsiTheme="majorHAnsi"/>
        </w:rPr>
        <w:fldChar w:fldCharType="separate"/>
      </w:r>
      <w:r w:rsidR="0010296A">
        <w:rPr>
          <w:rFonts w:asciiTheme="majorHAnsi" w:hAnsiTheme="majorHAnsi"/>
          <w:noProof/>
        </w:rPr>
        <w:t>5</w:t>
      </w:r>
      <w:r w:rsidRPr="00AA0A2C">
        <w:rPr>
          <w:rFonts w:asciiTheme="majorHAnsi" w:hAnsiTheme="majorHAnsi"/>
          <w:noProof/>
        </w:rPr>
        <w:fldChar w:fldCharType="end"/>
      </w:r>
      <w:r w:rsidRPr="00AA0A2C">
        <w:rPr>
          <w:rFonts w:asciiTheme="majorHAnsi" w:hAnsiTheme="majorHAnsi"/>
        </w:rPr>
        <w:t xml:space="preserve"> Impacto de la medida de mitigación en la productividad</w:t>
      </w:r>
    </w:p>
    <w:p w:rsidR="0006220F" w:rsidRPr="00AA0A2C" w:rsidRDefault="0006220F" w:rsidP="00E3412B">
      <w:pPr>
        <w:pStyle w:val="Notas"/>
        <w:rPr>
          <w:rFonts w:asciiTheme="majorHAnsi" w:hAnsiTheme="majorHAnsi"/>
        </w:rPr>
      </w:pPr>
      <w:r w:rsidRPr="00AA0A2C">
        <w:rPr>
          <w:rFonts w:asciiTheme="majorHAnsi" w:hAnsiTheme="majorHAnsi"/>
        </w:rPr>
        <w:t xml:space="preserve">Fuente: </w:t>
      </w:r>
      <w:r w:rsidR="00E3412B" w:rsidRPr="00AA0A2C">
        <w:rPr>
          <w:rFonts w:asciiTheme="majorHAnsi" w:hAnsiTheme="majorHAnsi"/>
        </w:rPr>
        <w:t>Ecogerencia Ltda. 2011. Basado Environmental  Resourses  Management Departament for International development. Ministerio de Agricultura de Chile.  (1997) Economía Ambiental y su aplicación a la gestión de cuencas hidrográficas. 1997</w:t>
      </w:r>
    </w:p>
    <w:p w:rsidR="00E3412B" w:rsidRPr="00AA0A2C" w:rsidRDefault="00E3412B" w:rsidP="00E3412B">
      <w:pPr>
        <w:rPr>
          <w:rFonts w:asciiTheme="majorHAnsi" w:hAnsiTheme="majorHAnsi"/>
        </w:rPr>
      </w:pPr>
    </w:p>
    <w:p w:rsidR="00CD1F06" w:rsidRPr="00AA0A2C" w:rsidRDefault="00CD1F06" w:rsidP="008954D5">
      <w:pPr>
        <w:pStyle w:val="Ttulo5"/>
        <w:rPr>
          <w:rFonts w:asciiTheme="majorHAnsi" w:hAnsiTheme="majorHAnsi"/>
        </w:rPr>
      </w:pPr>
      <w:r w:rsidRPr="00AA0A2C">
        <w:rPr>
          <w:rFonts w:asciiTheme="majorHAnsi" w:hAnsiTheme="majorHAnsi"/>
        </w:rPr>
        <w:t>Método del Costo de la Enfermedad (morbilidad) y Capital Humano (mortalidad)</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Los cambios en el medio ambiente pueden afectar la salud del ser humano en una amplia variedad de formas. Por ejemplo, cambios en la frecuencia de la enfermedad, incremento en la presencia de síntomas o aumento en el riesgo de contraer una enfermedad y muerte prematura. Así mismo, pueden presentarse efectos positivos sobre la disminución del riesgo de contraer una enfermedad y/o aumentar la expectativa de vida de la población.</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Las medidas para valorar los cambios en la salud humana, son:</w:t>
      </w:r>
    </w:p>
    <w:p w:rsidR="00CD1F06" w:rsidRPr="00AA0A2C" w:rsidRDefault="00CD1F06" w:rsidP="00CD1F06">
      <w:pPr>
        <w:rPr>
          <w:rFonts w:asciiTheme="majorHAnsi" w:hAnsiTheme="majorHAnsi"/>
        </w:rPr>
      </w:pPr>
    </w:p>
    <w:p w:rsidR="00CD1F06" w:rsidRPr="00AA0A2C" w:rsidRDefault="00CD1F06" w:rsidP="00CD7283">
      <w:pPr>
        <w:pStyle w:val="Prrafodelista"/>
        <w:numPr>
          <w:ilvl w:val="0"/>
          <w:numId w:val="12"/>
        </w:numPr>
        <w:rPr>
          <w:rFonts w:asciiTheme="majorHAnsi" w:hAnsiTheme="majorHAnsi"/>
        </w:rPr>
      </w:pPr>
      <w:r w:rsidRPr="00AA0A2C">
        <w:rPr>
          <w:rFonts w:asciiTheme="majorHAnsi" w:hAnsiTheme="majorHAnsi"/>
          <w:b/>
        </w:rPr>
        <w:t>Morbilidad:</w:t>
      </w:r>
      <w:r w:rsidRPr="00AA0A2C">
        <w:rPr>
          <w:rFonts w:asciiTheme="majorHAnsi" w:hAnsiTheme="majorHAnsi"/>
        </w:rPr>
        <w:t xml:space="preserve"> entendida como el cambio en la probabilidad de una persona de adquirir una enfermedad. </w:t>
      </w:r>
    </w:p>
    <w:p w:rsidR="00CD1F06" w:rsidRPr="00AA0A2C" w:rsidRDefault="00CD1F06" w:rsidP="00CD7283">
      <w:pPr>
        <w:pStyle w:val="Prrafodelista"/>
        <w:numPr>
          <w:ilvl w:val="0"/>
          <w:numId w:val="12"/>
        </w:numPr>
        <w:rPr>
          <w:rFonts w:asciiTheme="majorHAnsi" w:hAnsiTheme="majorHAnsi"/>
        </w:rPr>
      </w:pPr>
      <w:r w:rsidRPr="00AA0A2C">
        <w:rPr>
          <w:rFonts w:asciiTheme="majorHAnsi" w:hAnsiTheme="majorHAnsi"/>
          <w:b/>
        </w:rPr>
        <w:t>Mortalidad:</w:t>
      </w:r>
      <w:r w:rsidRPr="00AA0A2C">
        <w:rPr>
          <w:rFonts w:asciiTheme="majorHAnsi" w:hAnsiTheme="majorHAnsi"/>
        </w:rPr>
        <w:t xml:space="preserve"> entendida como el cambio en la probabilidad de morir a una edad determinada.</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La valoración de la morbilidad a través del enfoque de costo de la enfermedad estima la variación de los gastos incurridos por los individuos como resultado de un cambio en la incidencia de una enfermedad en particular. Tanto los costos directos (por ejemplo, los costos de las visitas al médico, los costos de tratamiento, etc.) y los costos indirectos (por ejemplo, salarios) se incluyen en la estimación.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La valoración de los costos de la enfermedad relacionados con la contaminación ambiental (aire, agua, suelo) requiere información de la función de daño implícita (relacionada con la función dosis-respuesta), la cual relaciona el nivel de contaminación (exposición) con el grado de efectos en salud (respuesta). El objetivo es el de cuantificar los costos de la morbilidad asociada a los cambios en la calidad ambiental generada por un megaproyecto.</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La utilidad de valorar los cambios en la morbilidad y/o mortalidad generados por un megaproyecto, sirve para agregar los costos/beneficios en la salud humana (morbilidad y/o mortalidad) por cambios en la calidad ambiental (agua, aire, suelo). Estos costos deben ser sumados dentro de los costos del megaproyecto como una de las externalidades negativas generadas sobre la población.</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Para esto la agregación se debe tener en cuenta sólo la población efectivamente afectada y no toda la población del área de influencia del megaproyecto, asimismo los resultados se deben presentar en términos unitarios, es decir en costos de tratamiento o de enfermedad por persona.</w:t>
      </w:r>
    </w:p>
    <w:p w:rsidR="00CD1F06" w:rsidRPr="00AA0A2C" w:rsidRDefault="00CD1F06" w:rsidP="00CD1F06">
      <w:pPr>
        <w:rPr>
          <w:rFonts w:asciiTheme="majorHAnsi" w:hAnsiTheme="majorHAnsi"/>
        </w:rPr>
      </w:pPr>
    </w:p>
    <w:p w:rsidR="00CD1F06" w:rsidRPr="007B4700" w:rsidRDefault="00CD1F06" w:rsidP="00CD1F06">
      <w:pPr>
        <w:rPr>
          <w:rFonts w:asciiTheme="majorHAnsi" w:hAnsiTheme="majorHAnsi"/>
          <w:i/>
        </w:rPr>
      </w:pPr>
      <w:r w:rsidRPr="007B4700">
        <w:rPr>
          <w:rFonts w:asciiTheme="majorHAnsi" w:hAnsiTheme="majorHAnsi"/>
          <w:i/>
        </w:rPr>
        <w:t>Este método se aplica a la medición de los costos ambientales por afectaciones de la salud humana por IRA (Infección Respiratoria Aguda) a causa de la contaminación del aire. Como se ha establecido que este impacto puede ocurrir, se utilizará en esta evaluación económica.</w:t>
      </w:r>
    </w:p>
    <w:p w:rsidR="00CD1F06" w:rsidRPr="00AA0A2C" w:rsidRDefault="00CD1F06" w:rsidP="00CD1F06">
      <w:pPr>
        <w:rPr>
          <w:rFonts w:asciiTheme="majorHAnsi" w:hAnsiTheme="majorHAnsi"/>
        </w:rPr>
      </w:pPr>
      <w:bookmarkStart w:id="26" w:name="_Toc367786914"/>
    </w:p>
    <w:p w:rsidR="00CD1F06" w:rsidRPr="00AA0A2C" w:rsidRDefault="00CD1F06" w:rsidP="008954D5">
      <w:pPr>
        <w:pStyle w:val="Ttulo4"/>
        <w:rPr>
          <w:rFonts w:asciiTheme="majorHAnsi" w:hAnsiTheme="majorHAnsi"/>
        </w:rPr>
      </w:pPr>
      <w:r w:rsidRPr="00AA0A2C">
        <w:rPr>
          <w:rFonts w:asciiTheme="majorHAnsi" w:hAnsiTheme="majorHAnsi"/>
        </w:rPr>
        <w:t>Metodologías Basadas en Costos</w:t>
      </w:r>
      <w:r w:rsidRPr="00AA0A2C">
        <w:rPr>
          <w:rFonts w:asciiTheme="majorHAnsi" w:hAnsiTheme="majorHAnsi"/>
          <w:vertAlign w:val="superscript"/>
        </w:rPr>
        <w:footnoteReference w:id="2"/>
      </w:r>
      <w:bookmarkEnd w:id="26"/>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Las metodologías basadas en gastos (preventivos, de reposición, de reemplazo, etc.) relacionan la estimación de los valores de los costos incurridos para remediar el daño. Estos métodos no proporcionan medidas de los valores económicos que se basan en la voluntad de los individuos a pagar por un producto o servicio.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En su lugar, asumen que los costos de evitar daños o la sustitución de ecosistemas o sus servicios, proporcionan estimaciones útiles del valor de estos ecosistemas o servicios. Esto se basa en el supuesto </w:t>
      </w:r>
      <w:r w:rsidR="008954D5" w:rsidRPr="00AA0A2C">
        <w:rPr>
          <w:rFonts w:asciiTheme="majorHAnsi" w:hAnsiTheme="majorHAnsi"/>
        </w:rPr>
        <w:t>que,</w:t>
      </w:r>
      <w:r w:rsidRPr="00AA0A2C">
        <w:rPr>
          <w:rFonts w:asciiTheme="majorHAnsi" w:hAnsiTheme="majorHAnsi"/>
        </w:rPr>
        <w:t xml:space="preserve"> si las personas incurren en gastos para evitar los daños a los servicios de los ecosistemas, o para sustituir a los servicios de los ecosistemas, dichos servicios deben valer al menos lo que la gente paga para reemplazarlos.  La valoración económica de los impactos ambientales basados en el enfoque de costos, se </w:t>
      </w:r>
      <w:r w:rsidR="008954D5" w:rsidRPr="00AA0A2C">
        <w:rPr>
          <w:rFonts w:asciiTheme="majorHAnsi" w:hAnsiTheme="majorHAnsi"/>
        </w:rPr>
        <w:t>asocia con la</w:t>
      </w:r>
      <w:r w:rsidRPr="00AA0A2C">
        <w:rPr>
          <w:rFonts w:asciiTheme="majorHAnsi" w:hAnsiTheme="majorHAnsi"/>
        </w:rPr>
        <w:t xml:space="preserve"> valoración económica del conjunto de medidas necesarias para </w:t>
      </w:r>
      <w:r w:rsidR="008954D5" w:rsidRPr="00AA0A2C">
        <w:rPr>
          <w:rFonts w:asciiTheme="majorHAnsi" w:hAnsiTheme="majorHAnsi"/>
        </w:rPr>
        <w:t>restaurar, prevenir y</w:t>
      </w:r>
      <w:r w:rsidRPr="00AA0A2C">
        <w:rPr>
          <w:rFonts w:asciiTheme="majorHAnsi" w:hAnsiTheme="majorHAnsi"/>
        </w:rPr>
        <w:t xml:space="preserve"> compensar los </w:t>
      </w:r>
      <w:r w:rsidR="008954D5" w:rsidRPr="00AA0A2C">
        <w:rPr>
          <w:rFonts w:asciiTheme="majorHAnsi" w:hAnsiTheme="majorHAnsi"/>
        </w:rPr>
        <w:t>daños ambientales</w:t>
      </w:r>
      <w:r w:rsidRPr="00AA0A2C">
        <w:rPr>
          <w:rFonts w:asciiTheme="majorHAnsi" w:hAnsiTheme="majorHAnsi"/>
        </w:rPr>
        <w:t xml:space="preserve"> de un proyecto o actividad económica.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Esta valoración se sustenta en la estimación de los costos necesarios para reemplazar o restaurar un activo ambiental deteriorado.</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7B4700">
        <w:rPr>
          <w:rFonts w:asciiTheme="majorHAnsi" w:hAnsiTheme="majorHAnsi"/>
          <w:i/>
        </w:rPr>
        <w:t>Este método se aplicará para valorar los impactos relacionados con</w:t>
      </w:r>
      <w:r w:rsidRPr="00AA0A2C">
        <w:rPr>
          <w:rFonts w:asciiTheme="majorHAnsi" w:hAnsiTheme="majorHAnsi"/>
        </w:rPr>
        <w:t>:</w:t>
      </w:r>
    </w:p>
    <w:p w:rsidR="00CD1F06" w:rsidRPr="00AA0A2C" w:rsidRDefault="00CD1F06" w:rsidP="00CD1F06">
      <w:pPr>
        <w:rPr>
          <w:rFonts w:asciiTheme="majorHAnsi" w:hAnsiTheme="majorHAnsi"/>
        </w:rPr>
      </w:pPr>
    </w:p>
    <w:p w:rsidR="00CD1F06" w:rsidRPr="007B4700" w:rsidRDefault="00CD1F06" w:rsidP="00CD1F06">
      <w:pPr>
        <w:rPr>
          <w:rFonts w:asciiTheme="majorHAnsi" w:hAnsiTheme="majorHAnsi"/>
          <w:i/>
        </w:rPr>
      </w:pPr>
      <w:r w:rsidRPr="007B4700">
        <w:rPr>
          <w:rFonts w:asciiTheme="majorHAnsi" w:hAnsiTheme="majorHAnsi"/>
          <w:i/>
        </w:rPr>
        <w:t>Disminución de la cobertura vegetal, que se traduce en particular en pérdida de la capacidad de regulación hídrica, pérdida de capacidad de retención de sedimentos, pérdida de capacidad de captura de carbono y aprovechamiento forestal.</w:t>
      </w:r>
    </w:p>
    <w:p w:rsidR="00CD1F06" w:rsidRPr="007B4700" w:rsidRDefault="00CD1F06" w:rsidP="00CD1F06">
      <w:pPr>
        <w:rPr>
          <w:rFonts w:asciiTheme="majorHAnsi" w:hAnsiTheme="majorHAnsi"/>
        </w:rPr>
      </w:pPr>
    </w:p>
    <w:p w:rsidR="00CD1F06" w:rsidRPr="007B4700" w:rsidRDefault="00CD1F06" w:rsidP="00CD1F06">
      <w:pPr>
        <w:rPr>
          <w:rFonts w:asciiTheme="majorHAnsi" w:hAnsiTheme="majorHAnsi"/>
          <w:i/>
        </w:rPr>
      </w:pPr>
      <w:r w:rsidRPr="007B4700">
        <w:rPr>
          <w:rFonts w:asciiTheme="majorHAnsi" w:hAnsiTheme="majorHAnsi"/>
          <w:i/>
        </w:rPr>
        <w:t xml:space="preserve">Cambios en la disponibilidad del recurso hídrico superficial, que comprende evaluar el costo del: Volumen de aguas que requiere el proyecto, tanto para uso doméstico, como industrial.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Este valor no será necesariamente equivalente al beneficio obtenido por evitar el daño, ya que en ocasiones los requerimientos de la autoridad ambiental pueden determinar que el valor del deterioro ambiental sea mayor o menor que el costo de reemplazo y que en ocasiones se </w:t>
      </w:r>
      <w:r w:rsidR="008954D5" w:rsidRPr="00AA0A2C">
        <w:rPr>
          <w:rFonts w:asciiTheme="majorHAnsi" w:hAnsiTheme="majorHAnsi"/>
        </w:rPr>
        <w:t>pueden presentar</w:t>
      </w:r>
      <w:r w:rsidRPr="00AA0A2C">
        <w:rPr>
          <w:rFonts w:asciiTheme="majorHAnsi" w:hAnsiTheme="majorHAnsi"/>
        </w:rPr>
        <w:t xml:space="preserve"> sesgos en la evaluación del proyecto cuando estos gastos no son exactamente iguales a los daños ocasionados (Da Silva Neto, 1994).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Los métodos que incorporan los “gastos preventivos o costos de remplazo” (Winpenny, 1991) se han convertido en una alternativa muy utilizada en la evaluación de proyectos, dada las dificultades de utilizar los métodos directos o que se sustentan en el uso </w:t>
      </w:r>
      <w:r w:rsidR="008954D5" w:rsidRPr="00AA0A2C">
        <w:rPr>
          <w:rFonts w:asciiTheme="majorHAnsi" w:hAnsiTheme="majorHAnsi"/>
        </w:rPr>
        <w:t>de modelos</w:t>
      </w:r>
      <w:r w:rsidRPr="00AA0A2C">
        <w:rPr>
          <w:rFonts w:asciiTheme="majorHAnsi" w:hAnsiTheme="majorHAnsi"/>
        </w:rPr>
        <w:t xml:space="preserve"> econométricos para los cuales muchas veces no existe la información requerida. La justificación teórica para estos métodos es </w:t>
      </w:r>
      <w:r w:rsidR="008954D5" w:rsidRPr="00AA0A2C">
        <w:rPr>
          <w:rFonts w:asciiTheme="majorHAnsi" w:hAnsiTheme="majorHAnsi"/>
        </w:rPr>
        <w:t>que,</w:t>
      </w:r>
      <w:r w:rsidRPr="00AA0A2C">
        <w:rPr>
          <w:rFonts w:asciiTheme="majorHAnsi" w:hAnsiTheme="majorHAnsi"/>
        </w:rPr>
        <w:t xml:space="preserve"> si los gastos de mitigación o recuperación evitan el daño ambiental, la externalidad desaparece y entonces estos gastos pasan a formar parte de los costos directos del proyecto y que corresponden a los costos ambientales del proyecto.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Para la valoración por el lado del costo de reemplazo se hace uso de </w:t>
      </w:r>
      <w:r w:rsidR="00E3412B" w:rsidRPr="00AA0A2C">
        <w:rPr>
          <w:rFonts w:asciiTheme="majorHAnsi" w:hAnsiTheme="majorHAnsi"/>
        </w:rPr>
        <w:t>una metodología</w:t>
      </w:r>
      <w:r w:rsidRPr="00AA0A2C">
        <w:rPr>
          <w:rFonts w:asciiTheme="majorHAnsi" w:hAnsiTheme="majorHAnsi"/>
        </w:rPr>
        <w:t xml:space="preserve"> de cálculo conocida como “el proyecto Sombra”, derivación utilizada para evaluar proyectos con impactos ambientales negativos. Esta técnica implica evaluar el costo del “proyecto sombra” que ofrezca un servicio ambiental sustituto para compensar la pérdida de la calidad ambiental.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Desde el punto de vista teórico se asume </w:t>
      </w:r>
      <w:r w:rsidR="008954D5" w:rsidRPr="00AA0A2C">
        <w:rPr>
          <w:rFonts w:asciiTheme="majorHAnsi" w:hAnsiTheme="majorHAnsi"/>
        </w:rPr>
        <w:t>que,</w:t>
      </w:r>
      <w:r w:rsidRPr="00AA0A2C">
        <w:rPr>
          <w:rFonts w:asciiTheme="majorHAnsi" w:hAnsiTheme="majorHAnsi"/>
        </w:rPr>
        <w:t xml:space="preserve"> si las personas realizan el reemplazo, están revelando una DAP por la mejora ambiental (o beneficio ambiental) que es por lo menos igual al costo de reemplazo. Sin embargo, es necesario considerar que el disfrute de los bienes y servicios proveniente del recurso restaurado no será inmediato, por lo que de todas formas la sociedad está asumiendo un costo de oportunidad, el </w:t>
      </w:r>
      <w:r w:rsidR="008954D5" w:rsidRPr="00AA0A2C">
        <w:rPr>
          <w:rFonts w:asciiTheme="majorHAnsi" w:hAnsiTheme="majorHAnsi"/>
        </w:rPr>
        <w:t>cual corresponde</w:t>
      </w:r>
      <w:r w:rsidRPr="00AA0A2C">
        <w:rPr>
          <w:rFonts w:asciiTheme="majorHAnsi" w:hAnsiTheme="majorHAnsi"/>
        </w:rPr>
        <w:t xml:space="preserve"> al costo de no contar durante un periodo determinado con los bienes y servicios que aportaba el bien restaurado.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Para esta valoración se utilizan los precios de mercado, ya sea a través de los precios de los productos </w:t>
      </w:r>
      <w:r w:rsidR="008954D5" w:rsidRPr="00AA0A2C">
        <w:rPr>
          <w:rFonts w:asciiTheme="majorHAnsi" w:hAnsiTheme="majorHAnsi"/>
        </w:rPr>
        <w:t>o de</w:t>
      </w:r>
      <w:r w:rsidRPr="00AA0A2C">
        <w:rPr>
          <w:rFonts w:asciiTheme="majorHAnsi" w:hAnsiTheme="majorHAnsi"/>
        </w:rPr>
        <w:t xml:space="preserve"> los costos de producción, y para tal efecto, se asume que los precios del mercado reflejan la escasez relativa de los recursos y por lo tanto, son precios económicamente eficientes. Para evitar los sesgos en la valoración además del costo de reemplazo o de restauración de bien afectado se debe incorporar el costo de oportunidad asociado a la pérdida de productividad, para tal efecto, Figueroa Eugenio</w:t>
      </w:r>
      <w:r w:rsidRPr="00AA0A2C">
        <w:rPr>
          <w:rFonts w:asciiTheme="majorHAnsi" w:hAnsiTheme="majorHAnsi"/>
          <w:vertAlign w:val="superscript"/>
        </w:rPr>
        <w:footnoteReference w:id="3"/>
      </w:r>
      <w:r w:rsidRPr="00AA0A2C">
        <w:rPr>
          <w:rFonts w:asciiTheme="majorHAnsi" w:hAnsiTheme="majorHAnsi"/>
        </w:rPr>
        <w:t xml:space="preserve"> propone el siguiente procedimiento:</w:t>
      </w:r>
    </w:p>
    <w:p w:rsidR="00CD1F06" w:rsidRPr="00AA0A2C" w:rsidRDefault="00CD1F06" w:rsidP="00CD1F06">
      <w:pPr>
        <w:rPr>
          <w:rFonts w:asciiTheme="majorHAnsi" w:hAnsiTheme="majorHAnsi"/>
        </w:rPr>
      </w:pPr>
    </w:p>
    <w:p w:rsidR="00CD1F06" w:rsidRPr="00AA0A2C" w:rsidRDefault="00CD1F06" w:rsidP="00CD7283">
      <w:pPr>
        <w:pStyle w:val="Prrafodelista"/>
        <w:numPr>
          <w:ilvl w:val="0"/>
          <w:numId w:val="13"/>
        </w:numPr>
        <w:rPr>
          <w:rFonts w:asciiTheme="majorHAnsi" w:hAnsiTheme="majorHAnsi"/>
        </w:rPr>
      </w:pPr>
      <w:r w:rsidRPr="00AA0A2C">
        <w:rPr>
          <w:rFonts w:asciiTheme="majorHAnsi" w:hAnsiTheme="majorHAnsi"/>
        </w:rPr>
        <w:t>Identificación de la línea base de referencia o situación inicial</w:t>
      </w:r>
    </w:p>
    <w:p w:rsidR="00CD1F06" w:rsidRPr="00AA0A2C" w:rsidRDefault="00CD1F06" w:rsidP="00CD7283">
      <w:pPr>
        <w:pStyle w:val="Prrafodelista"/>
        <w:numPr>
          <w:ilvl w:val="0"/>
          <w:numId w:val="13"/>
        </w:numPr>
        <w:rPr>
          <w:rFonts w:asciiTheme="majorHAnsi" w:hAnsiTheme="majorHAnsi"/>
        </w:rPr>
      </w:pPr>
      <w:r w:rsidRPr="00AA0A2C">
        <w:rPr>
          <w:rFonts w:asciiTheme="majorHAnsi" w:hAnsiTheme="majorHAnsi"/>
        </w:rPr>
        <w:t>Evaluación del Impacto o Daño Ambiental: Cantidad y calidad de los recursos afectados,</w:t>
      </w:r>
    </w:p>
    <w:p w:rsidR="00CD1F06" w:rsidRPr="00AA0A2C" w:rsidRDefault="00CD1F06" w:rsidP="00CD7283">
      <w:pPr>
        <w:pStyle w:val="Prrafodelista"/>
        <w:numPr>
          <w:ilvl w:val="0"/>
          <w:numId w:val="13"/>
        </w:numPr>
        <w:rPr>
          <w:rFonts w:asciiTheme="majorHAnsi" w:hAnsiTheme="majorHAnsi"/>
        </w:rPr>
      </w:pPr>
      <w:r w:rsidRPr="00AA0A2C">
        <w:rPr>
          <w:rFonts w:asciiTheme="majorHAnsi" w:hAnsiTheme="majorHAnsi"/>
        </w:rPr>
        <w:t>Actividades productivas y culturales afectadas por el daño ambiental, así como las comunidades y poblaciones afectadas.</w:t>
      </w:r>
    </w:p>
    <w:p w:rsidR="00CD1F06" w:rsidRPr="00AA0A2C" w:rsidRDefault="00CD1F06" w:rsidP="00CD7283">
      <w:pPr>
        <w:pStyle w:val="Prrafodelista"/>
        <w:numPr>
          <w:ilvl w:val="0"/>
          <w:numId w:val="13"/>
        </w:numPr>
        <w:rPr>
          <w:rFonts w:asciiTheme="majorHAnsi" w:hAnsiTheme="majorHAnsi"/>
        </w:rPr>
      </w:pPr>
      <w:r w:rsidRPr="00AA0A2C">
        <w:rPr>
          <w:rFonts w:asciiTheme="majorHAnsi" w:hAnsiTheme="majorHAnsi"/>
        </w:rPr>
        <w:t>Identificación de las alternativas de reparación del o los recursos afectados, costo y tiempo para la restauración (plazos de restauración y horizonte de pérdidas)</w:t>
      </w:r>
    </w:p>
    <w:p w:rsidR="00CD1F06" w:rsidRPr="00AA0A2C" w:rsidRDefault="00CD1F06" w:rsidP="00CD7283">
      <w:pPr>
        <w:pStyle w:val="Prrafodelista"/>
        <w:numPr>
          <w:ilvl w:val="0"/>
          <w:numId w:val="13"/>
        </w:numPr>
        <w:rPr>
          <w:rFonts w:asciiTheme="majorHAnsi" w:hAnsiTheme="majorHAnsi"/>
        </w:rPr>
      </w:pPr>
      <w:r w:rsidRPr="00AA0A2C">
        <w:rPr>
          <w:rFonts w:asciiTheme="majorHAnsi" w:hAnsiTheme="majorHAnsi"/>
        </w:rPr>
        <w:t xml:space="preserve">Selección de la alternativa de restauración basada en criterios de costo efectividad </w:t>
      </w:r>
    </w:p>
    <w:p w:rsidR="00CD1F06" w:rsidRPr="00AA0A2C" w:rsidRDefault="00CD1F06" w:rsidP="00CD7283">
      <w:pPr>
        <w:pStyle w:val="Prrafodelista"/>
        <w:numPr>
          <w:ilvl w:val="0"/>
          <w:numId w:val="13"/>
        </w:numPr>
        <w:rPr>
          <w:rFonts w:asciiTheme="majorHAnsi" w:hAnsiTheme="majorHAnsi"/>
        </w:rPr>
      </w:pPr>
      <w:r w:rsidRPr="00AA0A2C">
        <w:rPr>
          <w:rFonts w:asciiTheme="majorHAnsi" w:hAnsiTheme="majorHAnsi"/>
        </w:rPr>
        <w:t xml:space="preserve">Valoración de las pérdidas productivas temporales que corresponden </w:t>
      </w:r>
      <w:r w:rsidR="003744C8" w:rsidRPr="00AA0A2C">
        <w:rPr>
          <w:rFonts w:asciiTheme="majorHAnsi" w:hAnsiTheme="majorHAnsi"/>
        </w:rPr>
        <w:t>al valor</w:t>
      </w:r>
      <w:r w:rsidRPr="00AA0A2C">
        <w:rPr>
          <w:rFonts w:asciiTheme="majorHAnsi" w:hAnsiTheme="majorHAnsi"/>
        </w:rPr>
        <w:t xml:space="preserve"> presente de los Bienes y servicios ambientales perdidos desde el momento en que ocurrió el daño hasta la reparación total del recurso.</w:t>
      </w:r>
    </w:p>
    <w:p w:rsidR="00CD1F06" w:rsidRPr="00AA0A2C" w:rsidRDefault="00CD1F06" w:rsidP="00CD7283">
      <w:pPr>
        <w:pStyle w:val="Prrafodelista"/>
        <w:numPr>
          <w:ilvl w:val="0"/>
          <w:numId w:val="13"/>
        </w:numPr>
        <w:rPr>
          <w:rFonts w:asciiTheme="majorHAnsi" w:hAnsiTheme="majorHAnsi"/>
        </w:rPr>
      </w:pPr>
      <w:r w:rsidRPr="00AA0A2C">
        <w:rPr>
          <w:rFonts w:asciiTheme="majorHAnsi" w:hAnsiTheme="majorHAnsi"/>
        </w:rPr>
        <w:t xml:space="preserve">Valoración económica del daño ambiental en valor presente, utilizando para ello la tasa social de descuento del país.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Una vez seleccionados los impactos objeto de valoración económica, se considera que éste método es aplicable porque se dispone de la información necesaria y permite establecer los equivalentes monetarios de los impactos ambientales tanto negativos como positivos.</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Finalmente, en la teoría económica se asume que el valor se origina de la interacción del sujeto y el objeto, y las relaciones de bienestar que las mismas produzcan. En el caso del impacto ambiental económicamente valorizable, éste va a estar en función de aquel que sea imputable por la acción realizada. Las metodologías basadas en costos son: </w:t>
      </w:r>
    </w:p>
    <w:p w:rsidR="00CD1F06" w:rsidRPr="00AA0A2C" w:rsidRDefault="00CD1F06" w:rsidP="00CD1F06">
      <w:pPr>
        <w:rPr>
          <w:rFonts w:asciiTheme="majorHAnsi" w:hAnsiTheme="majorHAnsi"/>
        </w:rPr>
      </w:pPr>
    </w:p>
    <w:p w:rsidR="00CD1F06" w:rsidRPr="00AA0A2C" w:rsidRDefault="00CD1F06" w:rsidP="00CD7283">
      <w:pPr>
        <w:pStyle w:val="Prrafodelista"/>
        <w:numPr>
          <w:ilvl w:val="0"/>
          <w:numId w:val="14"/>
        </w:numPr>
        <w:rPr>
          <w:rFonts w:asciiTheme="majorHAnsi" w:hAnsiTheme="majorHAnsi"/>
        </w:rPr>
      </w:pPr>
      <w:r w:rsidRPr="00AA0A2C">
        <w:rPr>
          <w:rFonts w:asciiTheme="majorHAnsi" w:hAnsiTheme="majorHAnsi"/>
        </w:rPr>
        <w:t xml:space="preserve">Costos de reemplazo (utilizados como una estimación del costo de la contaminación), </w:t>
      </w:r>
    </w:p>
    <w:p w:rsidR="00CD1F06" w:rsidRPr="00AA0A2C" w:rsidRDefault="00CD1F06" w:rsidP="00CD7283">
      <w:pPr>
        <w:pStyle w:val="Prrafodelista"/>
        <w:numPr>
          <w:ilvl w:val="0"/>
          <w:numId w:val="14"/>
        </w:numPr>
        <w:rPr>
          <w:rFonts w:asciiTheme="majorHAnsi" w:hAnsiTheme="majorHAnsi"/>
        </w:rPr>
      </w:pPr>
      <w:r w:rsidRPr="00AA0A2C">
        <w:rPr>
          <w:rFonts w:asciiTheme="majorHAnsi" w:hAnsiTheme="majorHAnsi"/>
        </w:rPr>
        <w:t xml:space="preserve">Precios sombra (similar al de reposición o restauración de un activo físico o recurso natural), </w:t>
      </w:r>
    </w:p>
    <w:p w:rsidR="00CD1F06" w:rsidRPr="00AA0A2C" w:rsidRDefault="00CD1F06" w:rsidP="00CD7283">
      <w:pPr>
        <w:pStyle w:val="Prrafodelista"/>
        <w:numPr>
          <w:ilvl w:val="0"/>
          <w:numId w:val="14"/>
        </w:numPr>
        <w:rPr>
          <w:rFonts w:asciiTheme="majorHAnsi" w:hAnsiTheme="majorHAnsi"/>
        </w:rPr>
      </w:pPr>
      <w:r w:rsidRPr="00AA0A2C">
        <w:rPr>
          <w:rFonts w:asciiTheme="majorHAnsi" w:hAnsiTheme="majorHAnsi"/>
        </w:rPr>
        <w:t>Costo – efectividad (intenta estimar el costo de la protección ambiental en términos del costo de formas alternativas de lograr un determinado objetivo)</w:t>
      </w:r>
      <w:r w:rsidRPr="00AA0A2C">
        <w:rPr>
          <w:rFonts w:asciiTheme="majorHAnsi" w:hAnsiTheme="majorHAnsi"/>
          <w:vertAlign w:val="superscript"/>
        </w:rPr>
        <w:footnoteReference w:id="4"/>
      </w:r>
      <w:r w:rsidRPr="00AA0A2C">
        <w:rPr>
          <w:rFonts w:asciiTheme="majorHAnsi" w:hAnsiTheme="majorHAnsi"/>
        </w:rPr>
        <w:t>.</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El enfoque de Gastos inducidos o preventivos parte del supuesto que es posible medir los costos incurridos para reemplazar o reparar los daños en activos generados por un megaproyecto. También puede asociarse a los costos incurridos para prevenir un daño ambiental. Estos costos pueden ser interpretados como una estimación de los beneficios o costos evitados para la sociedad por evitar el daño </w:t>
      </w:r>
      <w:r w:rsidR="003744C8" w:rsidRPr="00AA0A2C">
        <w:rPr>
          <w:rFonts w:asciiTheme="majorHAnsi" w:hAnsiTheme="majorHAnsi"/>
        </w:rPr>
        <w:t>ambiental, tal</w:t>
      </w:r>
      <w:r w:rsidRPr="00AA0A2C">
        <w:rPr>
          <w:rFonts w:asciiTheme="majorHAnsi" w:hAnsiTheme="majorHAnsi"/>
        </w:rPr>
        <w:t xml:space="preserve"> como se ve representado en siguiente Figura.</w:t>
      </w:r>
    </w:p>
    <w:p w:rsidR="00CD1F06" w:rsidRPr="00AA0A2C" w:rsidRDefault="00CD1F06" w:rsidP="00CD1F06">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5809"/>
      </w:tblGrid>
      <w:tr w:rsidR="00E3412B" w:rsidRPr="00AA0A2C" w:rsidTr="00E3412B">
        <w:trPr>
          <w:trHeight w:val="2800"/>
          <w:jc w:val="center"/>
        </w:trPr>
        <w:tc>
          <w:tcPr>
            <w:tcW w:w="2800" w:type="dxa"/>
            <w:shd w:val="clear" w:color="auto" w:fill="auto"/>
            <w:vAlign w:val="center"/>
          </w:tcPr>
          <w:p w:rsidR="00E3412B" w:rsidRPr="00AA0A2C" w:rsidRDefault="00E3412B" w:rsidP="00E3412B">
            <w:pPr>
              <w:keepNext/>
              <w:jc w:val="center"/>
              <w:rPr>
                <w:rFonts w:asciiTheme="majorHAnsi" w:hAnsiTheme="majorHAnsi"/>
                <w:kern w:val="32"/>
              </w:rPr>
            </w:pPr>
            <w:r w:rsidRPr="00AA0A2C">
              <w:rPr>
                <w:rFonts w:asciiTheme="majorHAnsi" w:hAnsiTheme="majorHAnsi"/>
                <w:noProof/>
                <w:kern w:val="32"/>
                <w:lang w:eastAsia="es-CO"/>
              </w:rPr>
              <w:drawing>
                <wp:inline distT="0" distB="0" distL="0" distR="0" wp14:anchorId="4816AB21" wp14:editId="28AFE9DB">
                  <wp:extent cx="3600000" cy="234935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2349358"/>
                          </a:xfrm>
                          <a:prstGeom prst="rect">
                            <a:avLst/>
                          </a:prstGeom>
                          <a:noFill/>
                        </pic:spPr>
                      </pic:pic>
                    </a:graphicData>
                  </a:graphic>
                </wp:inline>
              </w:drawing>
            </w:r>
          </w:p>
        </w:tc>
      </w:tr>
    </w:tbl>
    <w:p w:rsidR="00E3412B" w:rsidRPr="00AA0A2C" w:rsidRDefault="00E3412B" w:rsidP="00E3412B">
      <w:pPr>
        <w:pStyle w:val="Tablas"/>
        <w:rPr>
          <w:rFonts w:asciiTheme="majorHAnsi" w:hAnsiTheme="majorHAnsi"/>
        </w:rPr>
      </w:pPr>
      <w:r w:rsidRPr="00AA0A2C">
        <w:rPr>
          <w:rFonts w:asciiTheme="majorHAnsi" w:hAnsiTheme="majorHAnsi"/>
        </w:rPr>
        <w:t xml:space="preserve">Figura </w:t>
      </w:r>
      <w:r w:rsidRPr="00AA0A2C">
        <w:rPr>
          <w:rFonts w:asciiTheme="majorHAnsi" w:hAnsiTheme="majorHAnsi"/>
        </w:rPr>
        <w:fldChar w:fldCharType="begin"/>
      </w:r>
      <w:r w:rsidRPr="00AA0A2C">
        <w:rPr>
          <w:rFonts w:asciiTheme="majorHAnsi" w:hAnsiTheme="majorHAnsi"/>
        </w:rPr>
        <w:instrText xml:space="preserve"> STYLEREF 1 \s </w:instrText>
      </w:r>
      <w:r w:rsidRPr="00AA0A2C">
        <w:rPr>
          <w:rFonts w:asciiTheme="majorHAnsi" w:hAnsiTheme="majorHAnsi"/>
        </w:rPr>
        <w:fldChar w:fldCharType="separate"/>
      </w:r>
      <w:r w:rsidR="0010296A">
        <w:rPr>
          <w:rFonts w:asciiTheme="majorHAnsi" w:hAnsiTheme="majorHAnsi"/>
          <w:noProof/>
        </w:rPr>
        <w:t>10</w:t>
      </w:r>
      <w:r w:rsidRPr="00AA0A2C">
        <w:rPr>
          <w:rFonts w:asciiTheme="majorHAnsi" w:hAnsiTheme="majorHAnsi"/>
          <w:noProof/>
        </w:rPr>
        <w:fldChar w:fldCharType="end"/>
      </w:r>
      <w:r w:rsidRPr="00AA0A2C">
        <w:rPr>
          <w:rFonts w:asciiTheme="majorHAnsi" w:hAnsiTheme="majorHAnsi"/>
        </w:rPr>
        <w:t>.</w:t>
      </w:r>
      <w:r w:rsidRPr="00AA0A2C">
        <w:rPr>
          <w:rFonts w:asciiTheme="majorHAnsi" w:hAnsiTheme="majorHAnsi"/>
        </w:rPr>
        <w:fldChar w:fldCharType="begin"/>
      </w:r>
      <w:r w:rsidRPr="00AA0A2C">
        <w:rPr>
          <w:rFonts w:asciiTheme="majorHAnsi" w:hAnsiTheme="majorHAnsi"/>
        </w:rPr>
        <w:instrText xml:space="preserve"> SEQ Figura \* ARABIC \s 1 </w:instrText>
      </w:r>
      <w:r w:rsidRPr="00AA0A2C">
        <w:rPr>
          <w:rFonts w:asciiTheme="majorHAnsi" w:hAnsiTheme="majorHAnsi"/>
        </w:rPr>
        <w:fldChar w:fldCharType="separate"/>
      </w:r>
      <w:r w:rsidR="0010296A">
        <w:rPr>
          <w:rFonts w:asciiTheme="majorHAnsi" w:hAnsiTheme="majorHAnsi"/>
          <w:noProof/>
        </w:rPr>
        <w:t>6</w:t>
      </w:r>
      <w:r w:rsidRPr="00AA0A2C">
        <w:rPr>
          <w:rFonts w:asciiTheme="majorHAnsi" w:hAnsiTheme="majorHAnsi"/>
          <w:noProof/>
        </w:rPr>
        <w:fldChar w:fldCharType="end"/>
      </w:r>
      <w:r w:rsidRPr="00AA0A2C">
        <w:rPr>
          <w:rFonts w:asciiTheme="majorHAnsi" w:hAnsiTheme="majorHAnsi"/>
        </w:rPr>
        <w:t xml:space="preserve"> Daños evitados por medidas de prevención</w:t>
      </w:r>
    </w:p>
    <w:p w:rsidR="00E3412B" w:rsidRPr="00AA0A2C" w:rsidRDefault="00E3412B" w:rsidP="00E3412B">
      <w:pPr>
        <w:pStyle w:val="Notas"/>
        <w:rPr>
          <w:rFonts w:asciiTheme="majorHAnsi" w:hAnsiTheme="majorHAnsi"/>
        </w:rPr>
      </w:pPr>
      <w:r w:rsidRPr="00AA0A2C">
        <w:rPr>
          <w:rFonts w:asciiTheme="majorHAnsi" w:hAnsiTheme="majorHAnsi"/>
        </w:rPr>
        <w:t>Fuente: Ecogerencia Ltda. 2011. Basado Environmental  Resourses  Management Departament for International development. Ministerio de Agricultura de Chile.  (1997) Economía Ambiental y su aplicación a la gestión de cuencas hidrográficas. 1997</w:t>
      </w:r>
    </w:p>
    <w:p w:rsidR="00C635FA" w:rsidRPr="00AA0A2C" w:rsidRDefault="00C635FA"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En otras ocasiones los costos incurridos corresponden a compensaciones exigidas por la autoridad ambiental para restaurar o recuperar ecosistemas deteriorados por otros proyectos, razón por la cual las medidas de manejo implementadas corresponden a externalidades positivas del proyecto. Una vez se implementen las medidas, el comportamiento del valor del recurso será como el representado en la siguiente Figura, donde se puede apreciar el cambio en bienestar dada la aplicación de una medida de compensación.</w:t>
      </w:r>
    </w:p>
    <w:p w:rsidR="00CD1F06" w:rsidRPr="00AA0A2C" w:rsidRDefault="00CD1F06" w:rsidP="00CD1F06">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5810"/>
      </w:tblGrid>
      <w:tr w:rsidR="00E3412B" w:rsidRPr="00AA0A2C" w:rsidTr="00E3412B">
        <w:trPr>
          <w:trHeight w:val="2800"/>
          <w:jc w:val="center"/>
        </w:trPr>
        <w:tc>
          <w:tcPr>
            <w:tcW w:w="2800" w:type="dxa"/>
            <w:shd w:val="clear" w:color="auto" w:fill="auto"/>
            <w:vAlign w:val="center"/>
          </w:tcPr>
          <w:p w:rsidR="00E3412B" w:rsidRPr="00AA0A2C" w:rsidRDefault="00E3412B" w:rsidP="00E3412B">
            <w:pPr>
              <w:keepNext/>
              <w:jc w:val="center"/>
              <w:rPr>
                <w:rFonts w:asciiTheme="majorHAnsi" w:hAnsiTheme="majorHAnsi"/>
                <w:kern w:val="32"/>
              </w:rPr>
            </w:pPr>
            <w:r w:rsidRPr="00AA0A2C">
              <w:rPr>
                <w:rFonts w:asciiTheme="majorHAnsi" w:hAnsiTheme="majorHAnsi"/>
                <w:noProof/>
                <w:kern w:val="32"/>
                <w:lang w:eastAsia="es-CO"/>
              </w:rPr>
              <w:drawing>
                <wp:inline distT="0" distB="0" distL="0" distR="0" wp14:anchorId="7FAB3A5D" wp14:editId="66EB10BF">
                  <wp:extent cx="3600000" cy="253435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2534350"/>
                          </a:xfrm>
                          <a:prstGeom prst="rect">
                            <a:avLst/>
                          </a:prstGeom>
                          <a:noFill/>
                        </pic:spPr>
                      </pic:pic>
                    </a:graphicData>
                  </a:graphic>
                </wp:inline>
              </w:drawing>
            </w:r>
          </w:p>
        </w:tc>
      </w:tr>
    </w:tbl>
    <w:p w:rsidR="00E3412B" w:rsidRPr="00AA0A2C" w:rsidRDefault="00E3412B" w:rsidP="00E3412B">
      <w:pPr>
        <w:pStyle w:val="Tablas"/>
        <w:rPr>
          <w:rFonts w:asciiTheme="majorHAnsi" w:hAnsiTheme="majorHAnsi"/>
        </w:rPr>
      </w:pPr>
      <w:r w:rsidRPr="00AA0A2C">
        <w:rPr>
          <w:rFonts w:asciiTheme="majorHAnsi" w:hAnsiTheme="majorHAnsi"/>
        </w:rPr>
        <w:t xml:space="preserve">Figura </w:t>
      </w:r>
      <w:r w:rsidRPr="00AA0A2C">
        <w:rPr>
          <w:rFonts w:asciiTheme="majorHAnsi" w:hAnsiTheme="majorHAnsi"/>
        </w:rPr>
        <w:fldChar w:fldCharType="begin"/>
      </w:r>
      <w:r w:rsidRPr="00AA0A2C">
        <w:rPr>
          <w:rFonts w:asciiTheme="majorHAnsi" w:hAnsiTheme="majorHAnsi"/>
        </w:rPr>
        <w:instrText xml:space="preserve"> STYLEREF 1 \s </w:instrText>
      </w:r>
      <w:r w:rsidRPr="00AA0A2C">
        <w:rPr>
          <w:rFonts w:asciiTheme="majorHAnsi" w:hAnsiTheme="majorHAnsi"/>
        </w:rPr>
        <w:fldChar w:fldCharType="separate"/>
      </w:r>
      <w:r w:rsidR="0010296A">
        <w:rPr>
          <w:rFonts w:asciiTheme="majorHAnsi" w:hAnsiTheme="majorHAnsi"/>
          <w:noProof/>
        </w:rPr>
        <w:t>10</w:t>
      </w:r>
      <w:r w:rsidRPr="00AA0A2C">
        <w:rPr>
          <w:rFonts w:asciiTheme="majorHAnsi" w:hAnsiTheme="majorHAnsi"/>
          <w:noProof/>
        </w:rPr>
        <w:fldChar w:fldCharType="end"/>
      </w:r>
      <w:r w:rsidRPr="00AA0A2C">
        <w:rPr>
          <w:rFonts w:asciiTheme="majorHAnsi" w:hAnsiTheme="majorHAnsi"/>
        </w:rPr>
        <w:t>.</w:t>
      </w:r>
      <w:r w:rsidRPr="00AA0A2C">
        <w:rPr>
          <w:rFonts w:asciiTheme="majorHAnsi" w:hAnsiTheme="majorHAnsi"/>
        </w:rPr>
        <w:fldChar w:fldCharType="begin"/>
      </w:r>
      <w:r w:rsidRPr="00AA0A2C">
        <w:rPr>
          <w:rFonts w:asciiTheme="majorHAnsi" w:hAnsiTheme="majorHAnsi"/>
        </w:rPr>
        <w:instrText xml:space="preserve"> SEQ Figura \* ARABIC \s 1 </w:instrText>
      </w:r>
      <w:r w:rsidRPr="00AA0A2C">
        <w:rPr>
          <w:rFonts w:asciiTheme="majorHAnsi" w:hAnsiTheme="majorHAnsi"/>
        </w:rPr>
        <w:fldChar w:fldCharType="separate"/>
      </w:r>
      <w:r w:rsidR="0010296A">
        <w:rPr>
          <w:rFonts w:asciiTheme="majorHAnsi" w:hAnsiTheme="majorHAnsi"/>
          <w:noProof/>
        </w:rPr>
        <w:t>7</w:t>
      </w:r>
      <w:r w:rsidRPr="00AA0A2C">
        <w:rPr>
          <w:rFonts w:asciiTheme="majorHAnsi" w:hAnsiTheme="majorHAnsi"/>
          <w:noProof/>
        </w:rPr>
        <w:fldChar w:fldCharType="end"/>
      </w:r>
      <w:r w:rsidRPr="00AA0A2C">
        <w:rPr>
          <w:rFonts w:asciiTheme="majorHAnsi" w:hAnsiTheme="majorHAnsi"/>
        </w:rPr>
        <w:t xml:space="preserve"> Mejoramiento ambiental por medida de compensación</w:t>
      </w:r>
    </w:p>
    <w:p w:rsidR="00E3412B" w:rsidRPr="00AA0A2C" w:rsidRDefault="00E3412B" w:rsidP="00E3412B">
      <w:pPr>
        <w:pStyle w:val="Notas"/>
        <w:rPr>
          <w:rFonts w:asciiTheme="majorHAnsi" w:hAnsiTheme="majorHAnsi"/>
        </w:rPr>
      </w:pPr>
      <w:r w:rsidRPr="00AA0A2C">
        <w:rPr>
          <w:rFonts w:asciiTheme="majorHAnsi" w:hAnsiTheme="majorHAnsi"/>
        </w:rPr>
        <w:t>Fuente: Ecogerencia Ltda. 2011. Basado Environmental  Resourses  Management Departament for International development. Ministerio de Agricultura de Chile.  (1997) Economía Ambiental y su aplicación a la gestión de cuencas hidrográficas. 1997</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La estimación realizada bajo este enfoque corresponde al límite superior del valor de los daños, pero no mide realmente los beneficios de la protección ambiental por sí misma. De acuerdo con el Banco de Desarrollo de Asia (ABD, por su sigla en inglés), los supuestos implícitos en este tipo de análisis son: </w:t>
      </w:r>
    </w:p>
    <w:p w:rsidR="00CD1F06" w:rsidRPr="00AA0A2C" w:rsidRDefault="00CD1F06" w:rsidP="00CD1F06">
      <w:pPr>
        <w:rPr>
          <w:rFonts w:asciiTheme="majorHAnsi" w:hAnsiTheme="majorHAnsi"/>
        </w:rPr>
      </w:pPr>
    </w:p>
    <w:p w:rsidR="00C635FA" w:rsidRPr="00AA0A2C" w:rsidRDefault="00C635FA">
      <w:pPr>
        <w:spacing w:line="240" w:lineRule="auto"/>
        <w:contextualSpacing w:val="0"/>
        <w:jc w:val="left"/>
        <w:rPr>
          <w:rFonts w:asciiTheme="majorHAnsi" w:hAnsiTheme="majorHAnsi"/>
        </w:rPr>
      </w:pPr>
      <w:r w:rsidRPr="00AA0A2C">
        <w:rPr>
          <w:rFonts w:asciiTheme="majorHAnsi" w:hAnsiTheme="majorHAnsi"/>
        </w:rPr>
        <w:br w:type="page"/>
      </w:r>
    </w:p>
    <w:p w:rsidR="00CD1F06" w:rsidRPr="00AA0A2C" w:rsidRDefault="00CD1F06" w:rsidP="00CD7283">
      <w:pPr>
        <w:pStyle w:val="Prrafodelista"/>
        <w:numPr>
          <w:ilvl w:val="0"/>
          <w:numId w:val="15"/>
        </w:numPr>
        <w:rPr>
          <w:rFonts w:asciiTheme="majorHAnsi" w:hAnsiTheme="majorHAnsi"/>
        </w:rPr>
      </w:pPr>
      <w:r w:rsidRPr="00AA0A2C">
        <w:rPr>
          <w:rFonts w:asciiTheme="majorHAnsi" w:hAnsiTheme="majorHAnsi"/>
        </w:rPr>
        <w:t>La magnitud del daño es medible.</w:t>
      </w:r>
    </w:p>
    <w:p w:rsidR="00CD1F06" w:rsidRPr="00AA0A2C" w:rsidRDefault="00CD1F06" w:rsidP="00CD7283">
      <w:pPr>
        <w:pStyle w:val="Prrafodelista"/>
        <w:numPr>
          <w:ilvl w:val="0"/>
          <w:numId w:val="15"/>
        </w:numPr>
        <w:rPr>
          <w:rFonts w:asciiTheme="majorHAnsi" w:hAnsiTheme="majorHAnsi"/>
        </w:rPr>
      </w:pPr>
      <w:r w:rsidRPr="00AA0A2C">
        <w:rPr>
          <w:rFonts w:asciiTheme="majorHAnsi" w:hAnsiTheme="majorHAnsi"/>
        </w:rPr>
        <w:t xml:space="preserve">El costo de reemplazo es calculable y este no es más grande que el valor de la productividad del recurso destruido. Por </w:t>
      </w:r>
      <w:r w:rsidR="00E3412B" w:rsidRPr="00AA0A2C">
        <w:rPr>
          <w:rFonts w:asciiTheme="majorHAnsi" w:hAnsiTheme="majorHAnsi"/>
        </w:rPr>
        <w:t>tanto,</w:t>
      </w:r>
      <w:r w:rsidRPr="00AA0A2C">
        <w:rPr>
          <w:rFonts w:asciiTheme="majorHAnsi" w:hAnsiTheme="majorHAnsi"/>
        </w:rPr>
        <w:t xml:space="preserve"> este es económicamente eficiente para ser reemplazado.</w:t>
      </w:r>
    </w:p>
    <w:p w:rsidR="00CD1F06" w:rsidRPr="00AA0A2C" w:rsidRDefault="00CD1F06" w:rsidP="00CD7283">
      <w:pPr>
        <w:pStyle w:val="Prrafodelista"/>
        <w:numPr>
          <w:ilvl w:val="0"/>
          <w:numId w:val="15"/>
        </w:numPr>
        <w:rPr>
          <w:rFonts w:asciiTheme="majorHAnsi" w:hAnsiTheme="majorHAnsi"/>
        </w:rPr>
      </w:pPr>
      <w:r w:rsidRPr="00AA0A2C">
        <w:rPr>
          <w:rFonts w:asciiTheme="majorHAnsi" w:hAnsiTheme="majorHAnsi"/>
        </w:rPr>
        <w:t xml:space="preserve">No existen beneficios secundarios asociados con los gastos.  </w:t>
      </w:r>
    </w:p>
    <w:p w:rsidR="00CD1F06" w:rsidRPr="00AA0A2C" w:rsidRDefault="00CD1F06" w:rsidP="00CD1F06">
      <w:pPr>
        <w:rPr>
          <w:rFonts w:asciiTheme="majorHAnsi" w:hAnsiTheme="majorHAnsi"/>
        </w:rPr>
      </w:pPr>
    </w:p>
    <w:p w:rsidR="00CD1F06" w:rsidRPr="00AA0A2C" w:rsidRDefault="00CD1F06" w:rsidP="00673583">
      <w:pPr>
        <w:pStyle w:val="Ttulo3"/>
        <w:rPr>
          <w:rFonts w:asciiTheme="majorHAnsi" w:hAnsiTheme="majorHAnsi"/>
        </w:rPr>
      </w:pPr>
      <w:bookmarkStart w:id="27" w:name="_Toc302429240"/>
      <w:bookmarkStart w:id="28" w:name="_Toc367786916"/>
      <w:bookmarkStart w:id="29" w:name="_Toc445192924"/>
      <w:r w:rsidRPr="00AA0A2C">
        <w:rPr>
          <w:rFonts w:asciiTheme="majorHAnsi" w:hAnsiTheme="majorHAnsi"/>
        </w:rPr>
        <w:t>Métodos Basados en Preferencias Declaradas</w:t>
      </w:r>
      <w:bookmarkEnd w:id="27"/>
      <w:bookmarkEnd w:id="28"/>
      <w:bookmarkEnd w:id="29"/>
    </w:p>
    <w:p w:rsidR="00CD1F06" w:rsidRPr="00AA0A2C" w:rsidRDefault="00CD1F06" w:rsidP="00CD1F06">
      <w:pPr>
        <w:rPr>
          <w:rFonts w:asciiTheme="majorHAnsi" w:hAnsiTheme="majorHAnsi"/>
        </w:rPr>
      </w:pPr>
    </w:p>
    <w:p w:rsidR="003F595F" w:rsidRPr="003F595F" w:rsidRDefault="003F595F" w:rsidP="003F595F">
      <w:pPr>
        <w:pStyle w:val="Ttulo4"/>
        <w:rPr>
          <w:rFonts w:asciiTheme="majorHAnsi" w:hAnsiTheme="majorHAnsi"/>
        </w:rPr>
      </w:pPr>
      <w:r w:rsidRPr="003F595F">
        <w:rPr>
          <w:rFonts w:asciiTheme="majorHAnsi" w:hAnsiTheme="majorHAnsi"/>
        </w:rPr>
        <w:t>Análisis Conjoint</w:t>
      </w:r>
    </w:p>
    <w:p w:rsidR="003F595F" w:rsidRPr="0049172D" w:rsidRDefault="003F595F" w:rsidP="003F595F">
      <w:pPr>
        <w:rPr>
          <w:lang w:val="es-ES"/>
        </w:rPr>
      </w:pPr>
    </w:p>
    <w:p w:rsidR="003F595F" w:rsidRPr="0049172D" w:rsidRDefault="003F595F" w:rsidP="003F595F">
      <w:pPr>
        <w:rPr>
          <w:lang w:val="es-ES"/>
        </w:rPr>
      </w:pPr>
      <w:r w:rsidRPr="0049172D">
        <w:rPr>
          <w:lang w:val="es-ES"/>
        </w:rPr>
        <w:t xml:space="preserve">El análisis Conjoint es una técnica usada específicamente para comprender como los individuos desarrollan preferencias por productos o servicios, está basada sobre la premisa de que los consumidores evalúan un producto o servicio a través del valor que le dan a la combinación de los diferentes niveles de atributos incluidos entre ellos el precio. </w:t>
      </w:r>
    </w:p>
    <w:p w:rsidR="003F595F" w:rsidRPr="0049172D" w:rsidRDefault="003F595F" w:rsidP="003F595F">
      <w:pPr>
        <w:rPr>
          <w:lang w:val="es-ES"/>
        </w:rPr>
      </w:pPr>
    </w:p>
    <w:p w:rsidR="003F595F" w:rsidRPr="0049172D" w:rsidRDefault="003F595F" w:rsidP="003F595F">
      <w:pPr>
        <w:rPr>
          <w:lang w:val="es-ES"/>
        </w:rPr>
      </w:pPr>
      <w:r w:rsidRPr="0049172D">
        <w:rPr>
          <w:lang w:val="es-ES"/>
        </w:rPr>
        <w:t xml:space="preserve">La utilidad es la base conceptual para medir valor en Análisis Conjoint al igual que en la mayoría de los métodos tradicionales, entre ellos Costo de Viaje y Valoración Contingente. </w:t>
      </w:r>
    </w:p>
    <w:p w:rsidR="003F595F" w:rsidRPr="0049172D" w:rsidRDefault="003F595F" w:rsidP="003F595F">
      <w:pPr>
        <w:rPr>
          <w:lang w:val="es-ES"/>
        </w:rPr>
      </w:pPr>
    </w:p>
    <w:p w:rsidR="003F595F" w:rsidRPr="0049172D" w:rsidRDefault="003F595F" w:rsidP="003F595F">
      <w:pPr>
        <w:rPr>
          <w:lang w:val="es-ES"/>
        </w:rPr>
      </w:pPr>
      <w:r w:rsidRPr="0049172D">
        <w:rPr>
          <w:lang w:val="es-ES"/>
        </w:rPr>
        <w:t>El análisis Conjoint (AC) es frecuentemente utilizado en el área de mercadeo para describir el impacto que tiene la variación de las características de un bien sobre el consumo del mismo. En la década de los 90s., la economía ambiental lo incorpora como una metodología para revelar preferencias por cambios en calidad de bienes y servicios ambientales.</w:t>
      </w:r>
    </w:p>
    <w:p w:rsidR="003F595F" w:rsidRPr="0049172D" w:rsidRDefault="003F595F" w:rsidP="003F595F">
      <w:pPr>
        <w:rPr>
          <w:lang w:val="es-ES"/>
        </w:rPr>
      </w:pPr>
    </w:p>
    <w:p w:rsidR="003F595F" w:rsidRPr="0049172D" w:rsidRDefault="003F595F" w:rsidP="003F595F">
      <w:pPr>
        <w:rPr>
          <w:lang w:val="es-ES"/>
        </w:rPr>
      </w:pPr>
      <w:r w:rsidRPr="0049172D">
        <w:rPr>
          <w:lang w:val="es-ES"/>
        </w:rPr>
        <w:t>Se utiliza esta técnica teniendo en cuenta que permite que el encuestado se enfrente ante el costo de oportunidad de elegir entre una mejora en la calidad del ambiente o sacrificar la implementación de proyectos mineros que brindan opciones de trabajo y aumento en el ingreso. La técnica está construida sobre el supuesto de que los consumidores toman decisiones de consumo de un bien o servicio basados en la combinación y en el análisis de sus atributos en conjunto: de allí el término Conjoint.</w:t>
      </w:r>
    </w:p>
    <w:p w:rsidR="003F595F" w:rsidRPr="0049172D" w:rsidRDefault="003F595F" w:rsidP="003F595F">
      <w:pPr>
        <w:rPr>
          <w:lang w:val="es-ES"/>
        </w:rPr>
      </w:pPr>
    </w:p>
    <w:p w:rsidR="003F595F" w:rsidRPr="0049172D" w:rsidRDefault="003F595F" w:rsidP="003F595F">
      <w:pPr>
        <w:rPr>
          <w:lang w:val="es-ES"/>
        </w:rPr>
      </w:pPr>
      <w:r w:rsidRPr="0049172D">
        <w:rPr>
          <w:lang w:val="es-ES"/>
        </w:rPr>
        <w:t>En el caso de los métodos de preferencias declaradas, dado que se trata de un proceso de ampliación dentro de un área actualmente en explotación, los cambios en los atributos ambientales serán marginales con respecto al estado actual del medio ambiente lo que determina que los mismos pierdan utilidad como métodos que permiten medir las preferencias que tienen los individuos por determinados cambios en la calidad ambiental.</w:t>
      </w:r>
    </w:p>
    <w:p w:rsidR="003F595F" w:rsidRDefault="003F595F" w:rsidP="003F595F">
      <w:pPr>
        <w:rPr>
          <w:rFonts w:eastAsiaTheme="majorEastAsia"/>
          <w:b/>
          <w:szCs w:val="20"/>
          <w:lang w:val="es-ES"/>
        </w:rPr>
      </w:pPr>
    </w:p>
    <w:p w:rsidR="003F595F" w:rsidRPr="007B4700" w:rsidRDefault="003F595F" w:rsidP="003F595F">
      <w:pPr>
        <w:rPr>
          <w:i/>
          <w:lang w:val="es-ES"/>
        </w:rPr>
      </w:pPr>
      <w:r w:rsidRPr="007B4700">
        <w:rPr>
          <w:i/>
          <w:lang w:val="es-ES"/>
        </w:rPr>
        <w:t xml:space="preserve">Este método es aplicado al estimar la afectación del recurso boscoso que genera el proyecto, al alterar la cobertura natural del entorno.  </w:t>
      </w:r>
    </w:p>
    <w:p w:rsidR="003F595F" w:rsidRPr="00AA0A2C" w:rsidRDefault="003F595F" w:rsidP="00CD1F06">
      <w:pPr>
        <w:rPr>
          <w:rFonts w:asciiTheme="majorHAnsi" w:hAnsiTheme="majorHAnsi"/>
        </w:rPr>
      </w:pPr>
    </w:p>
    <w:p w:rsidR="00CD1F06" w:rsidRPr="00AA0A2C" w:rsidRDefault="00CD1F06" w:rsidP="00673583">
      <w:pPr>
        <w:pStyle w:val="Ttulo3"/>
        <w:rPr>
          <w:rFonts w:asciiTheme="majorHAnsi" w:hAnsiTheme="majorHAnsi"/>
        </w:rPr>
      </w:pPr>
      <w:bookmarkStart w:id="30" w:name="_Toc302429241"/>
      <w:bookmarkStart w:id="31" w:name="_Toc367786917"/>
      <w:bookmarkStart w:id="32" w:name="_Toc381338331"/>
      <w:bookmarkStart w:id="33" w:name="_Toc445192925"/>
      <w:r w:rsidRPr="00AA0A2C">
        <w:rPr>
          <w:rFonts w:asciiTheme="majorHAnsi" w:hAnsiTheme="majorHAnsi"/>
        </w:rPr>
        <w:t>Método de Transferencia de Beneficios</w:t>
      </w:r>
      <w:bookmarkEnd w:id="30"/>
      <w:bookmarkEnd w:id="31"/>
      <w:bookmarkEnd w:id="32"/>
      <w:bookmarkEnd w:id="33"/>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La valoración de los servicios ambientales puede abordarse mediante el enfoque de la valoración marginal, el cual consiste en determinar los impactos que los cambios relativamente </w:t>
      </w:r>
      <w:r w:rsidR="00673583" w:rsidRPr="00AA0A2C">
        <w:rPr>
          <w:rFonts w:asciiTheme="majorHAnsi" w:hAnsiTheme="majorHAnsi"/>
        </w:rPr>
        <w:t>pequeños en</w:t>
      </w:r>
      <w:r w:rsidRPr="00AA0A2C">
        <w:rPr>
          <w:rFonts w:asciiTheme="majorHAnsi" w:hAnsiTheme="majorHAnsi"/>
        </w:rPr>
        <w:t xml:space="preserve"> los servicios del ecosistema producen en el bienestar humano. Los cambios en la calidad y/o cantidad de los servicios tienen valor en la medida en que afecten los beneficios que estén asociados a las actividades antrópicas o si alteran los costos de esas actividades.</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El impacto se mide a través de los mercados establecidos o de las actividades de no mercado. Se ha reiterado que el valor económico de los bienes y servicios ambientales no es medible a través del mercado y que no son adecuadamente cuantificados en términos que sean comparables con los beneficios económicos de las actividades productivas y por ello se consideran invaluables debido a que son el soporte de la vida.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Con el objetivo de establecer una base adecuada para la toma de decisiones racionales entre usos alternativos de los ambientes naturales, se deben establecer estudios para estimar valores económicos que permitan a las instituciones ambientales tomar decisiones claras de política pública acerca del uso, manejo, protección y conservación de los ecosistemas.</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En los últimos dos decenios se ha visto un aumento en la aplicación de las metodologías de valoración económica que estiman la disposición a pagar por mantener los beneficios que brindan los recursos naturales, o por evitar los costos ambientales que genera la actividad económica a partir del inadecuado uso de estos recursos. No obstante, debido a los altos costos de la implementación de estas metodologías, como la valoración contingente, el costo de viaje, y el método de los precios hedónicos, surgió una técnica que se basa en las estimaciones obtenidas en los estudios ya realizados con el fin de determinar el valor económico de un bien o servicio ambiental prestado por un ecosistema en un sitio de estudio diferente. Este método es conocido como el método de transferencia de valores ambientales.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Conocido más comúnmente como el método de transferencia de </w:t>
      </w:r>
      <w:r w:rsidR="00673583" w:rsidRPr="00AA0A2C">
        <w:rPr>
          <w:rFonts w:asciiTheme="majorHAnsi" w:hAnsiTheme="majorHAnsi"/>
        </w:rPr>
        <w:t>beneficios, no</w:t>
      </w:r>
      <w:r w:rsidRPr="00AA0A2C">
        <w:rPr>
          <w:rFonts w:asciiTheme="majorHAnsi" w:hAnsiTheme="majorHAnsi"/>
        </w:rPr>
        <w:t xml:space="preserve"> es una técnica en sí misma, como si se puede considerar a las metodologías más tradicionales de valoración económica del medio ambiente. De esta forma, el método consiste en la utilización de los valores monetarios de bienes ambientales estimados en un contexto determinado para estimar los beneficios de un bien similar bajo distinto contexto del cual se desconoce su valor.</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En el 2003, Rosemberg y Loomis, definen como Vs la medida obtenida en el sito de estudio y Vp la información que se necesita en el sitio de política. En el proceso derivan estimaciones de Vpj, para el sitio de la apolítica j desde los valores obtenidos en una investigación original en el sitio de estudio i, Vsi. Los valores del sitio de estudio Vsi transfieren el valor Vti para aplicar la política en el sitio j.</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p>
    <w:p w:rsidR="00CD1F06" w:rsidRPr="00AA0A2C" w:rsidRDefault="00CD1F06" w:rsidP="00673583">
      <w:pPr>
        <w:jc w:val="center"/>
        <w:rPr>
          <w:rFonts w:asciiTheme="majorHAnsi" w:hAnsiTheme="majorHAnsi"/>
        </w:rPr>
      </w:pPr>
      <w:r w:rsidRPr="00AA0A2C">
        <w:rPr>
          <w:rFonts w:asciiTheme="majorHAnsi" w:hAnsiTheme="majorHAnsi"/>
          <w:noProof/>
          <w:lang w:eastAsia="es-CO"/>
        </w:rPr>
        <mc:AlternateContent>
          <mc:Choice Requires="wps">
            <w:drawing>
              <wp:anchor distT="0" distB="0" distL="114300" distR="114300" simplePos="0" relativeHeight="251659264" behindDoc="0" locked="0" layoutInCell="1" allowOverlap="1" wp14:anchorId="62EE5F1A" wp14:editId="6DC361FA">
                <wp:simplePos x="0" y="0"/>
                <wp:positionH relativeFrom="column">
                  <wp:posOffset>2279015</wp:posOffset>
                </wp:positionH>
                <wp:positionV relativeFrom="paragraph">
                  <wp:posOffset>107315</wp:posOffset>
                </wp:positionV>
                <wp:extent cx="1385570" cy="635"/>
                <wp:effectExtent l="12065" t="80010" r="21590" b="81280"/>
                <wp:wrapNone/>
                <wp:docPr id="4" name="3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5570" cy="635"/>
                        </a:xfrm>
                        <a:prstGeom prst="bentConnector3">
                          <a:avLst>
                            <a:gd name="adj1" fmla="val 50000"/>
                          </a:avLst>
                        </a:prstGeom>
                        <a:noFill/>
                        <a:ln w="19050">
                          <a:solidFill>
                            <a:srgbClr val="FF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05B922" id="_x0000_t34" coordsize="21600,21600" o:spt="34" o:oned="t" adj="10800" path="m,l@0,0@0,21600,21600,21600e" filled="f">
                <v:stroke joinstyle="miter"/>
                <v:formulas>
                  <v:f eqn="val #0"/>
                </v:formulas>
                <v:path arrowok="t" fillok="f" o:connecttype="none"/>
                <v:handles>
                  <v:h position="#0,center"/>
                </v:handles>
                <o:lock v:ext="edit" shapetype="t"/>
              </v:shapetype>
              <v:shape id="31 Conector recto de flecha" o:spid="_x0000_s1026" type="#_x0000_t34" style="position:absolute;margin-left:179.45pt;margin-top:8.45pt;width:109.1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" strokecolor="red" strokeweight="1.5pt">
                <v:stroke endarrow="open"/>
              </v:shape>
            </w:pict>
          </mc:Fallback>
        </mc:AlternateContent>
      </w:r>
      <w:r w:rsidRPr="00AA0A2C">
        <w:rPr>
          <w:rFonts w:asciiTheme="majorHAnsi" w:hAnsiTheme="majorHAnsi"/>
        </w:rPr>
        <w:t>j:      Vsi                                                                      Vti</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Es importante tener en cuenta que la información transferible debe ser relevante para el sitio de política.</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La transferencia de beneficios permite hacer uso de estimaciones obtenidas (por cualquier método) en un contexto para estimar valores en otro contexto. Así, la transferencia de beneficios se utiliza para calcular los valores económicos de los servicios de los ecosistemas mediante la transferencia de la información disponible de estudios ya realizados en otro sitio/lugar.</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En lugar de la recopilación de datos primarios, el enfoque de transferencia de beneficios se basa en la información de estudios existentes que han aplicado métodos de valoración. En este sentido, la transferencia de beneficios puede ser definida como "la transferencia de los valores de no mercado estimados por otros estudios a un nuevo estudio, que es diferente de los estudios para los cuales los valores fueron de estimados originalmente”.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El objetivo básico de la transferencia de beneficios es estimar los beneficios de un sitio específico, mediante la adaptación de la estimación de los beneficios de otro lugar.</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Los resultados de la transferencia de beneficios sirven para agregar los beneficios de un proyecto, de acuerdo al beneficio identificado y sobre el cual se va a realizar la transferencia.</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Ventajas de la Transferencia de Beneficios</w:t>
      </w:r>
    </w:p>
    <w:p w:rsidR="00CD1F06" w:rsidRPr="00AA0A2C" w:rsidRDefault="00CD1F06" w:rsidP="00CD1F06">
      <w:pPr>
        <w:rPr>
          <w:rFonts w:asciiTheme="majorHAnsi" w:hAnsiTheme="majorHAnsi"/>
        </w:rPr>
      </w:pPr>
    </w:p>
    <w:p w:rsidR="00CD1F06" w:rsidRPr="00AA0A2C" w:rsidRDefault="00CD1F06" w:rsidP="00CD7283">
      <w:pPr>
        <w:pStyle w:val="Prrafodelista"/>
        <w:numPr>
          <w:ilvl w:val="0"/>
          <w:numId w:val="16"/>
        </w:numPr>
        <w:rPr>
          <w:rFonts w:asciiTheme="majorHAnsi" w:hAnsiTheme="majorHAnsi"/>
        </w:rPr>
      </w:pPr>
      <w:r w:rsidRPr="00AA0A2C">
        <w:rPr>
          <w:rFonts w:asciiTheme="majorHAnsi" w:hAnsiTheme="majorHAnsi"/>
        </w:rPr>
        <w:t>La transferencia de beneficios es menos costosa que la realización de un estudio de valoración original.</w:t>
      </w:r>
    </w:p>
    <w:p w:rsidR="00CD1F06" w:rsidRPr="00AA0A2C" w:rsidRDefault="00CD1F06" w:rsidP="00CD7283">
      <w:pPr>
        <w:pStyle w:val="Prrafodelista"/>
        <w:numPr>
          <w:ilvl w:val="0"/>
          <w:numId w:val="16"/>
        </w:numPr>
        <w:rPr>
          <w:rFonts w:asciiTheme="majorHAnsi" w:hAnsiTheme="majorHAnsi"/>
        </w:rPr>
      </w:pPr>
      <w:r w:rsidRPr="00AA0A2C">
        <w:rPr>
          <w:rFonts w:asciiTheme="majorHAnsi" w:hAnsiTheme="majorHAnsi"/>
        </w:rPr>
        <w:t>Los beneficios económicos pueden ser estimados con mayor rapidez a la hora de realizar un estudio de valoración original.</w:t>
      </w:r>
    </w:p>
    <w:p w:rsidR="00CD1F06" w:rsidRPr="00AA0A2C" w:rsidRDefault="00CD1F06" w:rsidP="00CD7283">
      <w:pPr>
        <w:pStyle w:val="Prrafodelista"/>
        <w:numPr>
          <w:ilvl w:val="0"/>
          <w:numId w:val="16"/>
        </w:numPr>
        <w:rPr>
          <w:rFonts w:asciiTheme="majorHAnsi" w:hAnsiTheme="majorHAnsi"/>
        </w:rPr>
      </w:pPr>
      <w:r w:rsidRPr="00AA0A2C">
        <w:rPr>
          <w:rFonts w:asciiTheme="majorHAnsi" w:hAnsiTheme="majorHAnsi"/>
        </w:rPr>
        <w:t>El método puede ser utilizado como una técnica de proyección para determinar si un estudio más detallado de valoración debe llevarse a cabo.</w:t>
      </w:r>
    </w:p>
    <w:p w:rsidR="00CD1F06" w:rsidRPr="00AA0A2C" w:rsidRDefault="00CD1F06" w:rsidP="00CD7283">
      <w:pPr>
        <w:pStyle w:val="Prrafodelista"/>
        <w:numPr>
          <w:ilvl w:val="0"/>
          <w:numId w:val="16"/>
        </w:numPr>
        <w:rPr>
          <w:rFonts w:asciiTheme="majorHAnsi" w:hAnsiTheme="majorHAnsi"/>
        </w:rPr>
      </w:pPr>
      <w:r w:rsidRPr="00AA0A2C">
        <w:rPr>
          <w:rFonts w:asciiTheme="majorHAnsi" w:hAnsiTheme="majorHAnsi"/>
        </w:rPr>
        <w:t>El método puede fácilmente y rápidamente aplicarse para hacer estimaciones en cifras brutas de los valores de los beneficios. Cuanto más similares los sitios y las experiencias, menos prejuicios resultantes.</w:t>
      </w:r>
    </w:p>
    <w:p w:rsidR="00CD1F06" w:rsidRPr="00AA0A2C" w:rsidRDefault="00673583" w:rsidP="00CD7283">
      <w:pPr>
        <w:pStyle w:val="Prrafodelista"/>
        <w:numPr>
          <w:ilvl w:val="0"/>
          <w:numId w:val="16"/>
        </w:numPr>
        <w:rPr>
          <w:rFonts w:asciiTheme="majorHAnsi" w:hAnsiTheme="majorHAnsi"/>
        </w:rPr>
      </w:pPr>
      <w:r w:rsidRPr="00AA0A2C">
        <w:rPr>
          <w:rFonts w:asciiTheme="majorHAnsi" w:hAnsiTheme="majorHAnsi"/>
        </w:rPr>
        <w:t>La estimación de valor unitario se puede</w:t>
      </w:r>
      <w:r w:rsidR="00CD1F06" w:rsidRPr="00AA0A2C">
        <w:rPr>
          <w:rFonts w:asciiTheme="majorHAnsi" w:hAnsiTheme="majorHAnsi"/>
        </w:rPr>
        <w:t xml:space="preserve"> convertir rápidamente a la fecha.</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Fundamentalmente hay tres formas conocidas en este método:</w:t>
      </w:r>
    </w:p>
    <w:p w:rsidR="00CD1F06" w:rsidRPr="00AA0A2C" w:rsidRDefault="00CD1F06" w:rsidP="00CD1F06">
      <w:pPr>
        <w:rPr>
          <w:rFonts w:asciiTheme="majorHAnsi" w:hAnsiTheme="majorHAnsi"/>
        </w:rPr>
      </w:pPr>
    </w:p>
    <w:p w:rsidR="00CD1F06" w:rsidRPr="00AA0A2C" w:rsidRDefault="00CD1F06" w:rsidP="00CD7283">
      <w:pPr>
        <w:pStyle w:val="Prrafodelista"/>
        <w:numPr>
          <w:ilvl w:val="0"/>
          <w:numId w:val="16"/>
        </w:numPr>
        <w:rPr>
          <w:rFonts w:asciiTheme="majorHAnsi" w:hAnsiTheme="majorHAnsi"/>
        </w:rPr>
      </w:pPr>
      <w:r w:rsidRPr="00AA0A2C">
        <w:rPr>
          <w:rFonts w:asciiTheme="majorHAnsi" w:hAnsiTheme="majorHAnsi"/>
        </w:rPr>
        <w:t>Transferencia de Valores Fijos</w:t>
      </w:r>
    </w:p>
    <w:p w:rsidR="00CD1F06" w:rsidRPr="00AA0A2C" w:rsidRDefault="00CD1F06" w:rsidP="00CD7283">
      <w:pPr>
        <w:pStyle w:val="Prrafodelista"/>
        <w:numPr>
          <w:ilvl w:val="0"/>
          <w:numId w:val="16"/>
        </w:numPr>
        <w:rPr>
          <w:rFonts w:asciiTheme="majorHAnsi" w:hAnsiTheme="majorHAnsi"/>
        </w:rPr>
      </w:pPr>
      <w:r w:rsidRPr="00AA0A2C">
        <w:rPr>
          <w:rFonts w:asciiTheme="majorHAnsi" w:hAnsiTheme="majorHAnsi"/>
        </w:rPr>
        <w:t>Juicio de Especialistas</w:t>
      </w:r>
    </w:p>
    <w:p w:rsidR="00CD1F06" w:rsidRPr="00AA0A2C" w:rsidRDefault="00CD1F06" w:rsidP="00CD7283">
      <w:pPr>
        <w:pStyle w:val="Prrafodelista"/>
        <w:numPr>
          <w:ilvl w:val="0"/>
          <w:numId w:val="16"/>
        </w:numPr>
        <w:rPr>
          <w:rFonts w:asciiTheme="majorHAnsi" w:hAnsiTheme="majorHAnsi"/>
        </w:rPr>
      </w:pPr>
      <w:r w:rsidRPr="00AA0A2C">
        <w:rPr>
          <w:rFonts w:asciiTheme="majorHAnsi" w:hAnsiTheme="majorHAnsi"/>
        </w:rPr>
        <w:t>Transferencia de Funciones</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En el primer caso, se estima un sitio similar y se definen parámetros, luego estos se trasladan de manera comparativa contra el sitio donde se aplicará el estudio primario. Se pueden encontrar tres formas: La transferencia de puntos o estimación puntual, la transferencia de medidas de tendencia central (estadísticas) y la transferencia de los juicios de especialistas o medidas administrativas.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Para el juicio de especialistas se pueden realizar estudios y evaluaciones de datos de panel y también de indicadores adelantados, así como la opinión de expertos. En la transferencia de funciones, se crea un modelo con variables en arreglos (del tipo vectorial) a utilizarse como similar en el sitio donde se aplicará el proceso de valoración.</w:t>
      </w:r>
    </w:p>
    <w:p w:rsidR="00CD1F06" w:rsidRPr="00AA0A2C" w:rsidRDefault="00CD1F06" w:rsidP="00CD1F06">
      <w:pPr>
        <w:rPr>
          <w:rFonts w:asciiTheme="majorHAnsi" w:hAnsiTheme="majorHAnsi"/>
        </w:rPr>
      </w:pPr>
    </w:p>
    <w:p w:rsidR="00CD1F06" w:rsidRPr="007B4700" w:rsidRDefault="00CD1F06" w:rsidP="00CD1F06">
      <w:pPr>
        <w:rPr>
          <w:rFonts w:asciiTheme="majorHAnsi" w:hAnsiTheme="majorHAnsi"/>
          <w:i/>
        </w:rPr>
      </w:pPr>
      <w:r w:rsidRPr="007B4700">
        <w:rPr>
          <w:rFonts w:asciiTheme="majorHAnsi" w:hAnsiTheme="majorHAnsi"/>
          <w:i/>
        </w:rPr>
        <w:t>Este método se utilizará en el ejercicio de valoración de los costos ambientales derivados de la contaminación del aire por concentración de partículas en suspensión y por gases. Esta metodología complementa la prevista para la contaminación del aire por similitud en otros estudios adelantados para medir las implicaciones en la salud humana.</w:t>
      </w:r>
    </w:p>
    <w:p w:rsidR="00CD1F06" w:rsidRPr="00AA0A2C" w:rsidRDefault="00CD1F06" w:rsidP="00CD1F06">
      <w:pPr>
        <w:rPr>
          <w:rFonts w:asciiTheme="majorHAnsi" w:hAnsiTheme="majorHAnsi"/>
        </w:rPr>
      </w:pPr>
    </w:p>
    <w:p w:rsidR="00CD1F06" w:rsidRPr="00AA0A2C" w:rsidRDefault="00CD1F06" w:rsidP="00673583">
      <w:pPr>
        <w:pStyle w:val="Ttulo2"/>
        <w:rPr>
          <w:rFonts w:asciiTheme="majorHAnsi" w:hAnsiTheme="majorHAnsi"/>
        </w:rPr>
      </w:pPr>
      <w:bookmarkStart w:id="34" w:name="_Toc367786918"/>
      <w:bookmarkStart w:id="35" w:name="_Toc381338332"/>
      <w:bookmarkStart w:id="36" w:name="_Toc381349796"/>
      <w:bookmarkStart w:id="37" w:name="_Toc445192926"/>
      <w:r w:rsidRPr="00AA0A2C">
        <w:rPr>
          <w:rFonts w:asciiTheme="majorHAnsi" w:hAnsiTheme="majorHAnsi"/>
        </w:rPr>
        <w:t>VALORACIÓN DE LOS IMPACTOS POSITIVOS O BENEFICIOS AMBIENTALES</w:t>
      </w:r>
      <w:bookmarkEnd w:id="34"/>
      <w:bookmarkEnd w:id="35"/>
      <w:bookmarkEnd w:id="36"/>
      <w:bookmarkEnd w:id="37"/>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Con la ejecución del presente proyecto, se ha estimado que se generan beneficios tales como: </w:t>
      </w:r>
    </w:p>
    <w:p w:rsidR="00CD1F06" w:rsidRPr="00AA0A2C" w:rsidRDefault="00CD1F06" w:rsidP="00CD1F06">
      <w:pPr>
        <w:rPr>
          <w:rFonts w:asciiTheme="majorHAnsi" w:hAnsiTheme="majorHAnsi"/>
        </w:rPr>
      </w:pPr>
    </w:p>
    <w:p w:rsidR="00CD1F06" w:rsidRPr="007B4700" w:rsidRDefault="00CD1F06" w:rsidP="00CD7283">
      <w:pPr>
        <w:pStyle w:val="Prrafodelista"/>
        <w:numPr>
          <w:ilvl w:val="0"/>
          <w:numId w:val="17"/>
        </w:numPr>
        <w:rPr>
          <w:rFonts w:asciiTheme="majorHAnsi" w:hAnsiTheme="majorHAnsi"/>
        </w:rPr>
      </w:pPr>
      <w:r w:rsidRPr="007B4700">
        <w:rPr>
          <w:rFonts w:asciiTheme="majorHAnsi" w:hAnsiTheme="majorHAnsi"/>
        </w:rPr>
        <w:t>Beneficios por compensación forestal</w:t>
      </w:r>
    </w:p>
    <w:p w:rsidR="007B4700" w:rsidRPr="007B4700" w:rsidRDefault="007B4700" w:rsidP="007B4700">
      <w:pPr>
        <w:pStyle w:val="Prrafodelista"/>
        <w:numPr>
          <w:ilvl w:val="0"/>
          <w:numId w:val="17"/>
        </w:numPr>
        <w:rPr>
          <w:rFonts w:asciiTheme="majorHAnsi" w:hAnsiTheme="majorHAnsi"/>
        </w:rPr>
      </w:pPr>
      <w:r w:rsidRPr="007B4700">
        <w:rPr>
          <w:rFonts w:asciiTheme="majorHAnsi" w:hAnsiTheme="majorHAnsi"/>
        </w:rPr>
        <w:t>Beneficios por compensación por pérdida de biodiversidad</w:t>
      </w:r>
    </w:p>
    <w:p w:rsidR="00CD1F06" w:rsidRPr="007B4700" w:rsidRDefault="00CD1F06" w:rsidP="00CD7283">
      <w:pPr>
        <w:pStyle w:val="Prrafodelista"/>
        <w:numPr>
          <w:ilvl w:val="0"/>
          <w:numId w:val="17"/>
        </w:numPr>
        <w:rPr>
          <w:rFonts w:asciiTheme="majorHAnsi" w:hAnsiTheme="majorHAnsi"/>
        </w:rPr>
      </w:pPr>
      <w:r w:rsidRPr="007B4700">
        <w:rPr>
          <w:rFonts w:asciiTheme="majorHAnsi" w:hAnsiTheme="majorHAnsi"/>
        </w:rPr>
        <w:t>Beneficios por Inversión del 1%</w:t>
      </w:r>
    </w:p>
    <w:p w:rsidR="00673583" w:rsidRPr="00AA0A2C" w:rsidRDefault="00673583" w:rsidP="00673583">
      <w:pPr>
        <w:rPr>
          <w:rFonts w:asciiTheme="majorHAnsi" w:hAnsiTheme="majorHAnsi"/>
        </w:rPr>
      </w:pPr>
    </w:p>
    <w:p w:rsidR="00CD1F06" w:rsidRPr="00AA0A2C" w:rsidRDefault="00CD1F06" w:rsidP="00673583">
      <w:pPr>
        <w:rPr>
          <w:rFonts w:asciiTheme="majorHAnsi" w:hAnsiTheme="majorHAnsi"/>
        </w:rPr>
      </w:pPr>
      <w:r w:rsidRPr="00AA0A2C">
        <w:rPr>
          <w:rFonts w:asciiTheme="majorHAnsi" w:hAnsiTheme="majorHAnsi"/>
        </w:rPr>
        <w:t>Para su valoración se utilizan las metodologías de precios de mercado y las basadas en costos.</w:t>
      </w:r>
    </w:p>
    <w:p w:rsidR="00CD1F06" w:rsidRPr="00AA0A2C" w:rsidRDefault="00CD1F06" w:rsidP="00CD1F06">
      <w:pPr>
        <w:rPr>
          <w:rFonts w:asciiTheme="majorHAnsi" w:hAnsiTheme="majorHAnsi"/>
        </w:rPr>
      </w:pPr>
    </w:p>
    <w:p w:rsidR="00CD1F06" w:rsidRPr="00AA0A2C" w:rsidRDefault="00CD1F06" w:rsidP="00673583">
      <w:pPr>
        <w:pStyle w:val="Ttulo2"/>
        <w:rPr>
          <w:rFonts w:asciiTheme="majorHAnsi" w:hAnsiTheme="majorHAnsi"/>
        </w:rPr>
      </w:pPr>
      <w:bookmarkStart w:id="38" w:name="_Toc381338334"/>
      <w:bookmarkStart w:id="39" w:name="_Toc381338335"/>
      <w:bookmarkStart w:id="40" w:name="_Toc286404717"/>
      <w:bookmarkStart w:id="41" w:name="_Toc302429243"/>
      <w:bookmarkStart w:id="42" w:name="_Toc367786920"/>
      <w:bookmarkStart w:id="43" w:name="_Toc381338336"/>
      <w:bookmarkStart w:id="44" w:name="_Toc445192928"/>
      <w:bookmarkEnd w:id="38"/>
      <w:bookmarkEnd w:id="39"/>
      <w:r w:rsidRPr="00AA0A2C">
        <w:rPr>
          <w:rFonts w:asciiTheme="majorHAnsi" w:hAnsiTheme="majorHAnsi"/>
        </w:rPr>
        <w:t>ANÁLISIS COSTO BENEFICIO AMBIENTAL (ACB)</w:t>
      </w:r>
      <w:bookmarkEnd w:id="40"/>
      <w:bookmarkEnd w:id="41"/>
      <w:bookmarkEnd w:id="42"/>
      <w:bookmarkEnd w:id="43"/>
      <w:bookmarkEnd w:id="44"/>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Uno de los criterios básicos de decisión frente al uso o no uso de los recursos naturales está basado en la eficiencia. Desde el punto de vista económico, un uso es eficiente si como resultado del mismo se maximiza el bienestar de la sociedad como un todo. Sin embargo, desde el punto de vista de un agente privado o inversionista su concepto de eficiencia está determinado en como la decisión de utilización de recursos maximiza la riqueza de la firma.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Por lo anterior la eficiencia en la asignación de los recursos implica que los mismos sean utilizados en aquella alternativa que permita aumentar el valor neto del producto generado por los mismos. Debe notarse entonces que el criterio de eficiencia depende del agente que hará uso de los recursos lo cual implica que lo eficiente para un inversionista o agente privado no lo sea para la sociedad como un todo y viceversa, ni tampoco que un uso eficiente desde el punto de vista económico permita </w:t>
      </w:r>
      <w:r w:rsidR="00673583" w:rsidRPr="00AA0A2C">
        <w:rPr>
          <w:rFonts w:asciiTheme="majorHAnsi" w:hAnsiTheme="majorHAnsi"/>
        </w:rPr>
        <w:t>una distribución</w:t>
      </w:r>
      <w:r w:rsidRPr="00AA0A2C">
        <w:rPr>
          <w:rFonts w:asciiTheme="majorHAnsi" w:hAnsiTheme="majorHAnsi"/>
        </w:rPr>
        <w:t xml:space="preserve"> de ingresos aceptable para la sociedad.</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La eficiencia económica está relacionada con los indicadores de rentabilidad social, tales como el Valor Presente Neto Económica – VPNE </w:t>
      </w:r>
      <w:r w:rsidR="00673583" w:rsidRPr="00AA0A2C">
        <w:rPr>
          <w:rFonts w:asciiTheme="majorHAnsi" w:hAnsiTheme="majorHAnsi"/>
        </w:rPr>
        <w:t>y Relación</w:t>
      </w:r>
      <w:r w:rsidRPr="00AA0A2C">
        <w:rPr>
          <w:rFonts w:asciiTheme="majorHAnsi" w:hAnsiTheme="majorHAnsi"/>
        </w:rPr>
        <w:t xml:space="preserve"> Beneficio Costo - RBC es </w:t>
      </w:r>
      <w:r w:rsidR="00673583" w:rsidRPr="00AA0A2C">
        <w:rPr>
          <w:rFonts w:asciiTheme="majorHAnsi" w:hAnsiTheme="majorHAnsi"/>
        </w:rPr>
        <w:t>decir, que</w:t>
      </w:r>
      <w:r w:rsidRPr="00AA0A2C">
        <w:rPr>
          <w:rFonts w:asciiTheme="majorHAnsi" w:hAnsiTheme="majorHAnsi"/>
        </w:rPr>
        <w:t xml:space="preserve"> aquellas alternativas que tengan los mayores niveles de indicadores de rentabilidad social serían las que garanticen un uso más eficiente de los recursos, que para el caso que nos interesa correspondería al uso de los recursos naturales.</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La determinación de los indicadores de rentabilidad social solamente es posible a través de una evaluación económica o Análisis Costo Beneficio ACB. El ACB se define como una herramienta de evaluación de proyectos, la cual permite estimar el beneficio neto de un megaproyecto, medido desde el punto de vista de las pérdidas y ganancias generadas sobre el bienestar social.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El Análisis Costo Beneficio implica primero realizar la valoración de los impactos positivos y negativos del proyecto que corresponden a expresiones monetarias de los costos y beneficios, establecer el balance entre los beneficios y costos del proyecto al cual se le denomina flujo neto económico y tercero, obtener el flujo descontado de beneficios y costos utilizando para ello una tasa social de descuento para obtener el indicador de rentabilidad social denominado Valor Presente neto, el cual se estima con la siguiente expresión.</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m:oMathPara>
        <m:oMath>
          <m:r>
            <w:rPr>
              <w:rFonts w:ascii="Cambria Math" w:hAnsi="Cambria Math"/>
            </w:rPr>
            <m:t>VPN</m:t>
          </m:r>
          <m:r>
            <m:rPr>
              <m:sty m:val="p"/>
            </m:rPr>
            <w:rPr>
              <w:rFonts w:ascii="Cambria Math" w:hAnsi="Cambria Math"/>
            </w:rPr>
            <m:t>=</m:t>
          </m:r>
          <m:nary>
            <m:naryPr>
              <m:chr m:val="∑"/>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i</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i</m:t>
                      </m:r>
                    </m:sup>
                  </m:sSup>
                </m:den>
              </m:f>
            </m:e>
          </m:nary>
          <m:r>
            <m:rPr>
              <m:sty m:val="p"/>
            </m:rPr>
            <w:rPr>
              <w:rFonts w:ascii="Cambria Math" w:hAnsi="Cambria Math"/>
            </w:rPr>
            <m:t>=</m:t>
          </m:r>
          <m:nary>
            <m:naryPr>
              <m:chr m:val="∑"/>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i</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i</m:t>
                      </m:r>
                    </m:sup>
                  </m:sSup>
                </m:den>
              </m:f>
              <m:r>
                <m:rPr>
                  <m:sty m:val="p"/>
                </m:rPr>
                <w:rPr>
                  <w:rFonts w:ascii="Cambria Math" w:hAnsi="Cambria Math"/>
                </w:rPr>
                <m:t>-</m:t>
              </m:r>
              <m:nary>
                <m:naryPr>
                  <m:chr m:val="∑"/>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i</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i</m:t>
                          </m:r>
                        </m:sup>
                      </m:sSup>
                    </m:den>
                  </m:f>
                </m:e>
              </m:nary>
            </m:e>
          </m:nary>
        </m:oMath>
      </m:oMathPara>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Donde,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i</m:t>
            </m:r>
          </m:sub>
        </m:sSub>
      </m:oMath>
      <w:r w:rsidRPr="00AA0A2C">
        <w:rPr>
          <w:rFonts w:asciiTheme="majorHAnsi" w:hAnsiTheme="majorHAnsi"/>
        </w:rPr>
        <w:t xml:space="preserve">Beneficios: corresponde a la valoración de los impactos positivos en el año i;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i</m:t>
            </m:r>
          </m:sub>
        </m:sSub>
      </m:oMath>
      <w:r w:rsidRPr="00AA0A2C">
        <w:rPr>
          <w:rFonts w:asciiTheme="majorHAnsi" w:hAnsiTheme="majorHAnsi"/>
        </w:rPr>
        <w:t xml:space="preserve">Costos: el valor de los impactos </w:t>
      </w:r>
      <w:r w:rsidR="00B44058" w:rsidRPr="00AA0A2C">
        <w:rPr>
          <w:rFonts w:asciiTheme="majorHAnsi" w:hAnsiTheme="majorHAnsi"/>
        </w:rPr>
        <w:t>negativos en</w:t>
      </w:r>
      <w:r w:rsidRPr="00AA0A2C">
        <w:rPr>
          <w:rFonts w:asciiTheme="majorHAnsi" w:hAnsiTheme="majorHAnsi"/>
        </w:rPr>
        <w:t xml:space="preserve"> el año </w:t>
      </w:r>
      <m:oMath>
        <m:r>
          <m:rPr>
            <m:sty m:val="p"/>
          </m:rPr>
          <w:rPr>
            <w:rFonts w:ascii="Cambria Math" w:hAnsi="Cambria Math"/>
          </w:rPr>
          <m:t>i;r</m:t>
        </m:r>
      </m:oMath>
      <w:r w:rsidRPr="00AA0A2C">
        <w:rPr>
          <w:rFonts w:asciiTheme="majorHAnsi" w:hAnsiTheme="majorHAnsi"/>
        </w:rPr>
        <w:t xml:space="preserve"> es la tasa social de descuento; </w:t>
      </w:r>
      <m:oMath>
        <m:r>
          <m:rPr>
            <m:sty m:val="p"/>
          </m:rPr>
          <w:rPr>
            <w:rFonts w:ascii="Cambria Math" w:hAnsi="Cambria Math"/>
          </w:rPr>
          <m:t>i</m:t>
        </m:r>
      </m:oMath>
      <w:r w:rsidRPr="00AA0A2C">
        <w:rPr>
          <w:rFonts w:asciiTheme="majorHAnsi" w:hAnsiTheme="majorHAnsi"/>
        </w:rPr>
        <w:t xml:space="preserve"> es el indicador del año.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Calculado el VPN, se aplican los criterios de aceptación o rechazo del proyecto ya sea que el VPN mayor a cero, menor a cero, e igual a cero, respectivamente, como se indica en la siguiente Tabla.</w:t>
      </w:r>
    </w:p>
    <w:p w:rsidR="00CD1F06" w:rsidRPr="00AA0A2C" w:rsidRDefault="00CD1F06" w:rsidP="00CD1F06">
      <w:pPr>
        <w:rPr>
          <w:rFonts w:asciiTheme="majorHAnsi" w:hAnsiTheme="majorHAnsi"/>
        </w:rPr>
      </w:pPr>
    </w:p>
    <w:p w:rsidR="00B44058" w:rsidRPr="00AA0A2C" w:rsidRDefault="00B44058" w:rsidP="00B44058">
      <w:pPr>
        <w:pStyle w:val="Descripcin"/>
        <w:keepNext/>
        <w:jc w:val="center"/>
        <w:rPr>
          <w:rFonts w:asciiTheme="majorHAnsi" w:hAnsiTheme="majorHAnsi"/>
        </w:rPr>
      </w:pPr>
      <w:bookmarkStart w:id="45" w:name="_Ref443032033"/>
      <w:bookmarkStart w:id="46" w:name="_Toc444511931"/>
      <w:r w:rsidRPr="00AA0A2C">
        <w:rPr>
          <w:rFonts w:asciiTheme="majorHAnsi" w:hAnsiTheme="majorHAnsi"/>
        </w:rPr>
        <w:t xml:space="preserve">Tabla </w:t>
      </w:r>
      <w:r w:rsidR="006D0D6E">
        <w:rPr>
          <w:rFonts w:asciiTheme="majorHAnsi" w:hAnsiTheme="majorHAnsi"/>
        </w:rPr>
        <w:fldChar w:fldCharType="begin"/>
      </w:r>
      <w:r w:rsidR="006D0D6E">
        <w:rPr>
          <w:rFonts w:asciiTheme="majorHAnsi" w:hAnsiTheme="majorHAnsi"/>
        </w:rPr>
        <w:instrText xml:space="preserve"> STYLEREF 1 \s </w:instrText>
      </w:r>
      <w:r w:rsidR="006D0D6E">
        <w:rPr>
          <w:rFonts w:asciiTheme="majorHAnsi" w:hAnsiTheme="majorHAnsi"/>
        </w:rPr>
        <w:fldChar w:fldCharType="separate"/>
      </w:r>
      <w:r w:rsidR="006D0D6E">
        <w:rPr>
          <w:rFonts w:asciiTheme="majorHAnsi" w:hAnsiTheme="majorHAnsi"/>
          <w:noProof/>
        </w:rPr>
        <w:t>10</w:t>
      </w:r>
      <w:r w:rsidR="006D0D6E">
        <w:rPr>
          <w:rFonts w:asciiTheme="majorHAnsi" w:hAnsiTheme="majorHAnsi"/>
        </w:rPr>
        <w:fldChar w:fldCharType="end"/>
      </w:r>
      <w:r w:rsidR="006D0D6E">
        <w:rPr>
          <w:rFonts w:asciiTheme="majorHAnsi" w:hAnsiTheme="majorHAnsi"/>
        </w:rPr>
        <w:t>.</w:t>
      </w:r>
      <w:r w:rsidR="006D0D6E">
        <w:rPr>
          <w:rFonts w:asciiTheme="majorHAnsi" w:hAnsiTheme="majorHAnsi"/>
        </w:rPr>
        <w:fldChar w:fldCharType="begin"/>
      </w:r>
      <w:r w:rsidR="006D0D6E">
        <w:rPr>
          <w:rFonts w:asciiTheme="majorHAnsi" w:hAnsiTheme="majorHAnsi"/>
        </w:rPr>
        <w:instrText xml:space="preserve"> SEQ Tabla \* ARABIC \s 1 </w:instrText>
      </w:r>
      <w:r w:rsidR="006D0D6E">
        <w:rPr>
          <w:rFonts w:asciiTheme="majorHAnsi" w:hAnsiTheme="majorHAnsi"/>
        </w:rPr>
        <w:fldChar w:fldCharType="separate"/>
      </w:r>
      <w:r w:rsidR="006D0D6E">
        <w:rPr>
          <w:rFonts w:asciiTheme="majorHAnsi" w:hAnsiTheme="majorHAnsi"/>
          <w:noProof/>
        </w:rPr>
        <w:t>1</w:t>
      </w:r>
      <w:r w:rsidR="006D0D6E">
        <w:rPr>
          <w:rFonts w:asciiTheme="majorHAnsi" w:hAnsiTheme="majorHAnsi"/>
        </w:rPr>
        <w:fldChar w:fldCharType="end"/>
      </w:r>
      <w:bookmarkEnd w:id="45"/>
      <w:r w:rsidRPr="00AA0A2C">
        <w:rPr>
          <w:rFonts w:asciiTheme="majorHAnsi" w:hAnsiTheme="majorHAnsi"/>
        </w:rPr>
        <w:t xml:space="preserve">. </w:t>
      </w:r>
      <w:bookmarkEnd w:id="46"/>
      <w:r w:rsidRPr="00AA0A2C">
        <w:rPr>
          <w:rFonts w:asciiTheme="majorHAnsi" w:hAnsiTheme="majorHAnsi"/>
          <w:b w:val="0"/>
        </w:rPr>
        <w:t>Interpretación del Indicador VPN</w:t>
      </w:r>
    </w:p>
    <w:tbl>
      <w:tblPr>
        <w:tblStyle w:val="Gminis"/>
        <w:tblW w:w="5000" w:type="pct"/>
        <w:tblLook w:val="04A0" w:firstRow="1" w:lastRow="0" w:firstColumn="1" w:lastColumn="0" w:noHBand="0" w:noVBand="1"/>
      </w:tblPr>
      <w:tblGrid>
        <w:gridCol w:w="2690"/>
        <w:gridCol w:w="5571"/>
      </w:tblGrid>
      <w:tr w:rsidR="00CD1F06" w:rsidRPr="00AA0A2C" w:rsidTr="007B4700">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628" w:type="pct"/>
            <w:tcBorders>
              <w:top w:val="none" w:sz="0" w:space="0" w:color="auto"/>
              <w:left w:val="none" w:sz="0" w:space="0" w:color="auto"/>
              <w:bottom w:val="none" w:sz="0" w:space="0" w:color="auto"/>
            </w:tcBorders>
            <w:vAlign w:val="center"/>
          </w:tcPr>
          <w:p w:rsidR="00CD1F06" w:rsidRPr="00AA0A2C" w:rsidRDefault="00B44058" w:rsidP="007B4700">
            <w:pPr>
              <w:jc w:val="center"/>
              <w:rPr>
                <w:rFonts w:asciiTheme="majorHAnsi" w:hAnsiTheme="majorHAnsi"/>
                <w:sz w:val="20"/>
              </w:rPr>
            </w:pPr>
            <w:r w:rsidRPr="00AA0A2C">
              <w:rPr>
                <w:rFonts w:asciiTheme="majorHAnsi" w:hAnsiTheme="majorHAnsi"/>
                <w:sz w:val="20"/>
              </w:rPr>
              <w:t>VALOR PRESENTE NETO</w:t>
            </w:r>
          </w:p>
        </w:tc>
        <w:tc>
          <w:tcPr>
            <w:tcW w:w="3372" w:type="pct"/>
            <w:tcBorders>
              <w:bottom w:val="none" w:sz="0" w:space="0" w:color="auto"/>
              <w:right w:val="none" w:sz="0" w:space="0" w:color="auto"/>
            </w:tcBorders>
            <w:vAlign w:val="center"/>
          </w:tcPr>
          <w:p w:rsidR="00CD1F06" w:rsidRPr="00AA0A2C" w:rsidRDefault="00B44058" w:rsidP="007B470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rPr>
            </w:pPr>
            <w:r w:rsidRPr="00AA0A2C">
              <w:rPr>
                <w:rFonts w:asciiTheme="majorHAnsi" w:hAnsiTheme="majorHAnsi"/>
                <w:sz w:val="20"/>
              </w:rPr>
              <w:t>INTERPRETACIÓN</w:t>
            </w:r>
          </w:p>
        </w:tc>
      </w:tr>
      <w:tr w:rsidR="00CD1F06" w:rsidRPr="00AA0A2C" w:rsidTr="007B4700">
        <w:trPr>
          <w:trHeight w:val="20"/>
        </w:trPr>
        <w:tc>
          <w:tcPr>
            <w:cnfStyle w:val="001000000000" w:firstRow="0" w:lastRow="0" w:firstColumn="1" w:lastColumn="0" w:oddVBand="0" w:evenVBand="0" w:oddHBand="0" w:evenHBand="0" w:firstRowFirstColumn="0" w:firstRowLastColumn="0" w:lastRowFirstColumn="0" w:lastRowLastColumn="0"/>
            <w:tcW w:w="1628" w:type="pct"/>
            <w:tcBorders>
              <w:left w:val="none" w:sz="0" w:space="0" w:color="auto"/>
            </w:tcBorders>
            <w:vAlign w:val="center"/>
          </w:tcPr>
          <w:p w:rsidR="00CD1F06" w:rsidRPr="00AA0A2C" w:rsidRDefault="00CD1F06" w:rsidP="007B4700">
            <w:pPr>
              <w:jc w:val="center"/>
              <w:rPr>
                <w:rFonts w:asciiTheme="majorHAnsi" w:hAnsiTheme="majorHAnsi"/>
                <w:sz w:val="20"/>
              </w:rPr>
            </w:pPr>
            <m:oMathPara>
              <m:oMath>
                <m:r>
                  <w:rPr>
                    <w:rFonts w:ascii="Cambria Math" w:hAnsi="Cambria Math"/>
                    <w:sz w:val="20"/>
                  </w:rPr>
                  <m:t>VAN</m:t>
                </m:r>
                <m:r>
                  <m:rPr>
                    <m:sty m:val="p"/>
                  </m:rPr>
                  <w:rPr>
                    <w:rFonts w:ascii="Cambria Math" w:hAnsi="Cambria Math"/>
                    <w:sz w:val="20"/>
                  </w:rPr>
                  <m:t>&gt;0</m:t>
                </m:r>
              </m:oMath>
            </m:oMathPara>
          </w:p>
        </w:tc>
        <w:tc>
          <w:tcPr>
            <w:tcW w:w="3372" w:type="pct"/>
            <w:vAlign w:val="center"/>
          </w:tcPr>
          <w:p w:rsidR="00CD1F06" w:rsidRPr="00AA0A2C" w:rsidRDefault="00CD1F06" w:rsidP="007B47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AA0A2C">
              <w:rPr>
                <w:rFonts w:asciiTheme="majorHAnsi" w:hAnsiTheme="majorHAnsi"/>
                <w:sz w:val="20"/>
              </w:rPr>
              <w:t>Los beneficios del proyecto son mayores que sus costos, por lo tanto, el proyecto es rentable desde el punto de vista social lo que implicaría tomar la decisión de ejecutar el proyecto</w:t>
            </w:r>
          </w:p>
        </w:tc>
      </w:tr>
      <w:tr w:rsidR="00CD1F06" w:rsidRPr="00AA0A2C" w:rsidTr="007B4700">
        <w:trPr>
          <w:trHeight w:val="20"/>
        </w:trPr>
        <w:tc>
          <w:tcPr>
            <w:cnfStyle w:val="001000000000" w:firstRow="0" w:lastRow="0" w:firstColumn="1" w:lastColumn="0" w:oddVBand="0" w:evenVBand="0" w:oddHBand="0" w:evenHBand="0" w:firstRowFirstColumn="0" w:firstRowLastColumn="0" w:lastRowFirstColumn="0" w:lastRowLastColumn="0"/>
            <w:tcW w:w="1628" w:type="pct"/>
            <w:tcBorders>
              <w:left w:val="none" w:sz="0" w:space="0" w:color="auto"/>
            </w:tcBorders>
            <w:vAlign w:val="center"/>
          </w:tcPr>
          <w:p w:rsidR="00CD1F06" w:rsidRPr="00AA0A2C" w:rsidRDefault="00CD1F06" w:rsidP="007B4700">
            <w:pPr>
              <w:jc w:val="center"/>
              <w:rPr>
                <w:rFonts w:asciiTheme="majorHAnsi" w:hAnsiTheme="majorHAnsi"/>
                <w:sz w:val="20"/>
              </w:rPr>
            </w:pPr>
            <m:oMathPara>
              <m:oMath>
                <m:r>
                  <w:rPr>
                    <w:rFonts w:ascii="Cambria Math" w:hAnsi="Cambria Math"/>
                    <w:sz w:val="20"/>
                  </w:rPr>
                  <m:t>VAN</m:t>
                </m:r>
                <m:r>
                  <m:rPr>
                    <m:sty m:val="p"/>
                  </m:rPr>
                  <w:rPr>
                    <w:rFonts w:ascii="Cambria Math" w:hAnsi="Cambria Math"/>
                    <w:sz w:val="20"/>
                  </w:rPr>
                  <m:t>=0</m:t>
                </m:r>
              </m:oMath>
            </m:oMathPara>
          </w:p>
        </w:tc>
        <w:tc>
          <w:tcPr>
            <w:tcW w:w="3372" w:type="pct"/>
            <w:vAlign w:val="center"/>
          </w:tcPr>
          <w:p w:rsidR="00CD1F06" w:rsidRPr="00AA0A2C" w:rsidRDefault="00CD1F06" w:rsidP="007B47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AA0A2C">
              <w:rPr>
                <w:rFonts w:asciiTheme="majorHAnsi" w:hAnsiTheme="majorHAnsi"/>
                <w:sz w:val="20"/>
              </w:rPr>
              <w:t xml:space="preserve">El proyecto genera beneficios iguales a los costos, considerando la tasa social de </w:t>
            </w:r>
            <w:r w:rsidR="00B44058" w:rsidRPr="00AA0A2C">
              <w:rPr>
                <w:rFonts w:asciiTheme="majorHAnsi" w:hAnsiTheme="majorHAnsi"/>
                <w:sz w:val="20"/>
              </w:rPr>
              <w:t>descuento, Por</w:t>
            </w:r>
            <w:r w:rsidRPr="00AA0A2C">
              <w:rPr>
                <w:rFonts w:asciiTheme="majorHAnsi" w:hAnsiTheme="majorHAnsi"/>
                <w:sz w:val="20"/>
              </w:rPr>
              <w:t xml:space="preserve"> lo tanto, no genera cambios sustanciales en el bienestar social.</w:t>
            </w:r>
          </w:p>
        </w:tc>
      </w:tr>
      <w:tr w:rsidR="00CD1F06" w:rsidRPr="00AA0A2C" w:rsidTr="007B4700">
        <w:trPr>
          <w:trHeight w:val="20"/>
        </w:trPr>
        <w:tc>
          <w:tcPr>
            <w:cnfStyle w:val="001000000000" w:firstRow="0" w:lastRow="0" w:firstColumn="1" w:lastColumn="0" w:oddVBand="0" w:evenVBand="0" w:oddHBand="0" w:evenHBand="0" w:firstRowFirstColumn="0" w:firstRowLastColumn="0" w:lastRowFirstColumn="0" w:lastRowLastColumn="0"/>
            <w:tcW w:w="1628" w:type="pct"/>
            <w:tcBorders>
              <w:left w:val="none" w:sz="0" w:space="0" w:color="auto"/>
            </w:tcBorders>
            <w:vAlign w:val="center"/>
          </w:tcPr>
          <w:p w:rsidR="00CD1F06" w:rsidRPr="00AA0A2C" w:rsidRDefault="00CD1F06" w:rsidP="007B4700">
            <w:pPr>
              <w:jc w:val="center"/>
              <w:rPr>
                <w:rFonts w:asciiTheme="majorHAnsi" w:hAnsiTheme="majorHAnsi"/>
                <w:sz w:val="20"/>
              </w:rPr>
            </w:pPr>
            <m:oMathPara>
              <m:oMath>
                <m:r>
                  <w:rPr>
                    <w:rFonts w:ascii="Cambria Math" w:hAnsi="Cambria Math"/>
                    <w:sz w:val="20"/>
                  </w:rPr>
                  <m:t>VAN</m:t>
                </m:r>
                <m:r>
                  <m:rPr>
                    <m:sty m:val="p"/>
                  </m:rPr>
                  <w:rPr>
                    <w:rFonts w:ascii="Cambria Math" w:hAnsi="Cambria Math"/>
                    <w:sz w:val="20"/>
                  </w:rPr>
                  <m:t>&lt;0</m:t>
                </m:r>
              </m:oMath>
            </m:oMathPara>
          </w:p>
        </w:tc>
        <w:tc>
          <w:tcPr>
            <w:tcW w:w="3372" w:type="pct"/>
            <w:vAlign w:val="center"/>
          </w:tcPr>
          <w:p w:rsidR="00CD1F06" w:rsidRPr="00AA0A2C" w:rsidRDefault="00CD1F06" w:rsidP="007B47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AA0A2C">
              <w:rPr>
                <w:rFonts w:asciiTheme="majorHAnsi" w:hAnsiTheme="majorHAnsi"/>
                <w:sz w:val="20"/>
              </w:rPr>
              <w:t>Los costos del proyecto son mayores a sus beneficios. Por tanto, se debe rechazar el megaproyecto, ya que provoca pérdidas en bienestar social.</w:t>
            </w:r>
          </w:p>
        </w:tc>
      </w:tr>
    </w:tbl>
    <w:p w:rsidR="00B44058" w:rsidRPr="00AA0A2C" w:rsidRDefault="007B4700" w:rsidP="007B4700">
      <w:pPr>
        <w:pStyle w:val="Notas"/>
        <w:rPr>
          <w:lang w:val="es-ES_tradnl"/>
        </w:rPr>
      </w:pPr>
      <w:bookmarkStart w:id="47" w:name="_Toc381338370"/>
      <w:bookmarkStart w:id="48" w:name="_Toc382295657"/>
      <w:r>
        <w:t xml:space="preserve">Fuente </w:t>
      </w:r>
      <w:r w:rsidR="00C50768" w:rsidRPr="00AA0A2C">
        <w:t xml:space="preserve">Fuente </w:t>
      </w:r>
      <w:r w:rsidR="00B44058" w:rsidRPr="00AA0A2C">
        <w:rPr>
          <w:lang w:val="es-ES_tradnl"/>
        </w:rPr>
        <w:t>CEDE, Uniandes. MAVDT 2010</w:t>
      </w:r>
    </w:p>
    <w:p w:rsidR="00B44058" w:rsidRPr="00AA0A2C" w:rsidRDefault="00B44058" w:rsidP="00CD1F06">
      <w:pPr>
        <w:rPr>
          <w:rFonts w:asciiTheme="majorHAnsi" w:hAnsiTheme="majorHAnsi"/>
          <w:highlight w:val="yellow"/>
        </w:rPr>
      </w:pPr>
    </w:p>
    <w:bookmarkEnd w:id="47"/>
    <w:bookmarkEnd w:id="48"/>
    <w:p w:rsidR="00CD1F06" w:rsidRPr="00AA0A2C" w:rsidRDefault="00CD1F06" w:rsidP="00CD1F06">
      <w:pPr>
        <w:rPr>
          <w:rFonts w:asciiTheme="majorHAnsi" w:hAnsiTheme="majorHAnsi"/>
        </w:rPr>
      </w:pPr>
      <w:r w:rsidRPr="00AA0A2C">
        <w:rPr>
          <w:rFonts w:asciiTheme="majorHAnsi" w:hAnsiTheme="majorHAnsi"/>
        </w:rPr>
        <w:t>Otro indicador de rentabilidad social que puede ser utilizado para el análisis de decisión corresponde a la Relación Beneficio Costo (RBC).  La cual está dada por el cociente entre el valor actual de los beneficios y el valor actual de los costos.</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m:oMathPara>
        <m:oMath>
          <m:r>
            <w:rPr>
              <w:rFonts w:ascii="Cambria Math" w:hAnsi="Cambria Math"/>
            </w:rPr>
            <m:t>RBC</m:t>
          </m:r>
          <m:r>
            <m:rPr>
              <m:sty m:val="p"/>
            </m:rPr>
            <w:rPr>
              <w:rFonts w:ascii="Cambria Math" w:hAnsi="Cambria Math"/>
            </w:rPr>
            <m:t>=</m:t>
          </m:r>
          <m:f>
            <m:fPr>
              <m:ctrlPr>
                <w:rPr>
                  <w:rFonts w:ascii="Cambria Math" w:hAnsi="Cambria Math"/>
                </w:rPr>
              </m:ctrlPr>
            </m:fPr>
            <m:num>
              <m:nary>
                <m:naryPr>
                  <m:chr m:val="∑"/>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i</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i</m:t>
                          </m:r>
                        </m:sup>
                      </m:sSup>
                    </m:den>
                  </m:f>
                </m:e>
              </m:nary>
            </m:num>
            <m:den>
              <m:nary>
                <m:naryPr>
                  <m:chr m:val="∑"/>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i</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i</m:t>
                          </m:r>
                        </m:sup>
                      </m:sSup>
                    </m:den>
                  </m:f>
                </m:e>
              </m:nary>
            </m:den>
          </m:f>
          <m:r>
            <m:rPr>
              <m:sty m:val="p"/>
            </m:rPr>
            <w:rPr>
              <w:rFonts w:ascii="Cambria Math" w:hAnsi="Cambria Math"/>
            </w:rPr>
            <m:t>=</m:t>
          </m:r>
          <m:f>
            <m:fPr>
              <m:ctrlPr>
                <w:rPr>
                  <w:rFonts w:ascii="Cambria Math" w:hAnsi="Cambria Math"/>
                </w:rPr>
              </m:ctrlPr>
            </m:fPr>
            <m:num>
              <m:r>
                <w:rPr>
                  <w:rFonts w:ascii="Cambria Math" w:hAnsi="Cambria Math"/>
                </w:rPr>
                <m:t>VA</m:t>
              </m:r>
              <m:sSub>
                <m:sSubPr>
                  <m:ctrlPr>
                    <w:rPr>
                      <w:rFonts w:ascii="Cambria Math" w:hAnsi="Cambria Math"/>
                    </w:rPr>
                  </m:ctrlPr>
                </m:sSubPr>
                <m:e>
                  <m:r>
                    <w:rPr>
                      <w:rFonts w:ascii="Cambria Math" w:hAnsi="Cambria Math"/>
                    </w:rPr>
                    <m:t>N</m:t>
                  </m:r>
                </m:e>
                <m:sub>
                  <m:r>
                    <w:rPr>
                      <w:rFonts w:ascii="Cambria Math" w:hAnsi="Cambria Math"/>
                    </w:rPr>
                    <m:t>beneficios</m:t>
                  </m:r>
                </m:sub>
              </m:sSub>
            </m:num>
            <m:den>
              <m:r>
                <w:rPr>
                  <w:rFonts w:ascii="Cambria Math" w:hAnsi="Cambria Math"/>
                </w:rPr>
                <m:t>VA</m:t>
              </m:r>
              <m:sSub>
                <m:sSubPr>
                  <m:ctrlPr>
                    <w:rPr>
                      <w:rFonts w:ascii="Cambria Math" w:hAnsi="Cambria Math"/>
                    </w:rPr>
                  </m:ctrlPr>
                </m:sSubPr>
                <m:e>
                  <m:r>
                    <w:rPr>
                      <w:rFonts w:ascii="Cambria Math" w:hAnsi="Cambria Math"/>
                    </w:rPr>
                    <m:t>N</m:t>
                  </m:r>
                </m:e>
                <m:sub>
                  <m:r>
                    <w:rPr>
                      <w:rFonts w:ascii="Cambria Math" w:hAnsi="Cambria Math"/>
                    </w:rPr>
                    <m:t>costos</m:t>
                  </m:r>
                </m:sub>
              </m:sSub>
            </m:den>
          </m:f>
        </m:oMath>
      </m:oMathPara>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Los resultados de este indicador muestran la contribución del proyecto al bienestar de la sociedad como un todo y la interpretación del mismo se presenta en la siguiente Tabla.</w:t>
      </w:r>
    </w:p>
    <w:p w:rsidR="00CD1F06" w:rsidRPr="00AA0A2C" w:rsidRDefault="00CD1F06" w:rsidP="00CD1F06">
      <w:pPr>
        <w:rPr>
          <w:rFonts w:asciiTheme="majorHAnsi" w:hAnsiTheme="majorHAnsi"/>
        </w:rPr>
      </w:pPr>
    </w:p>
    <w:p w:rsidR="007B4700" w:rsidRDefault="007B4700">
      <w:pPr>
        <w:spacing w:line="240" w:lineRule="auto"/>
        <w:contextualSpacing w:val="0"/>
        <w:jc w:val="left"/>
        <w:rPr>
          <w:rFonts w:asciiTheme="majorHAnsi" w:hAnsiTheme="majorHAnsi"/>
          <w:b/>
          <w:bCs/>
          <w:sz w:val="20"/>
          <w:szCs w:val="20"/>
        </w:rPr>
      </w:pPr>
      <w:r>
        <w:rPr>
          <w:rFonts w:asciiTheme="majorHAnsi" w:hAnsiTheme="majorHAnsi"/>
        </w:rPr>
        <w:br w:type="page"/>
      </w:r>
    </w:p>
    <w:p w:rsidR="00B44058" w:rsidRPr="00AA0A2C" w:rsidRDefault="00B44058" w:rsidP="00B44058">
      <w:pPr>
        <w:pStyle w:val="Descripcin"/>
        <w:keepNext/>
        <w:jc w:val="center"/>
        <w:rPr>
          <w:rFonts w:asciiTheme="majorHAnsi" w:hAnsiTheme="majorHAnsi"/>
        </w:rPr>
      </w:pPr>
      <w:r w:rsidRPr="00AA0A2C">
        <w:rPr>
          <w:rFonts w:asciiTheme="majorHAnsi" w:hAnsiTheme="majorHAnsi"/>
        </w:rPr>
        <w:t xml:space="preserve">Tabla </w:t>
      </w:r>
      <w:r w:rsidR="006D0D6E">
        <w:rPr>
          <w:rFonts w:asciiTheme="majorHAnsi" w:hAnsiTheme="majorHAnsi"/>
        </w:rPr>
        <w:fldChar w:fldCharType="begin"/>
      </w:r>
      <w:r w:rsidR="006D0D6E">
        <w:rPr>
          <w:rFonts w:asciiTheme="majorHAnsi" w:hAnsiTheme="majorHAnsi"/>
        </w:rPr>
        <w:instrText xml:space="preserve"> STYLEREF 1 \s </w:instrText>
      </w:r>
      <w:r w:rsidR="006D0D6E">
        <w:rPr>
          <w:rFonts w:asciiTheme="majorHAnsi" w:hAnsiTheme="majorHAnsi"/>
        </w:rPr>
        <w:fldChar w:fldCharType="separate"/>
      </w:r>
      <w:r w:rsidR="006D0D6E">
        <w:rPr>
          <w:rFonts w:asciiTheme="majorHAnsi" w:hAnsiTheme="majorHAnsi"/>
          <w:noProof/>
        </w:rPr>
        <w:t>10</w:t>
      </w:r>
      <w:r w:rsidR="006D0D6E">
        <w:rPr>
          <w:rFonts w:asciiTheme="majorHAnsi" w:hAnsiTheme="majorHAnsi"/>
        </w:rPr>
        <w:fldChar w:fldCharType="end"/>
      </w:r>
      <w:r w:rsidR="006D0D6E">
        <w:rPr>
          <w:rFonts w:asciiTheme="majorHAnsi" w:hAnsiTheme="majorHAnsi"/>
        </w:rPr>
        <w:t>.</w:t>
      </w:r>
      <w:r w:rsidR="006D0D6E">
        <w:rPr>
          <w:rFonts w:asciiTheme="majorHAnsi" w:hAnsiTheme="majorHAnsi"/>
        </w:rPr>
        <w:fldChar w:fldCharType="begin"/>
      </w:r>
      <w:r w:rsidR="006D0D6E">
        <w:rPr>
          <w:rFonts w:asciiTheme="majorHAnsi" w:hAnsiTheme="majorHAnsi"/>
        </w:rPr>
        <w:instrText xml:space="preserve"> SEQ Tabla \* ARABIC \s 1 </w:instrText>
      </w:r>
      <w:r w:rsidR="006D0D6E">
        <w:rPr>
          <w:rFonts w:asciiTheme="majorHAnsi" w:hAnsiTheme="majorHAnsi"/>
        </w:rPr>
        <w:fldChar w:fldCharType="separate"/>
      </w:r>
      <w:r w:rsidR="006D0D6E">
        <w:rPr>
          <w:rFonts w:asciiTheme="majorHAnsi" w:hAnsiTheme="majorHAnsi"/>
          <w:noProof/>
        </w:rPr>
        <w:t>2</w:t>
      </w:r>
      <w:r w:rsidR="006D0D6E">
        <w:rPr>
          <w:rFonts w:asciiTheme="majorHAnsi" w:hAnsiTheme="majorHAnsi"/>
        </w:rPr>
        <w:fldChar w:fldCharType="end"/>
      </w:r>
      <w:r w:rsidRPr="00AA0A2C">
        <w:rPr>
          <w:rFonts w:asciiTheme="majorHAnsi" w:hAnsiTheme="majorHAnsi"/>
        </w:rPr>
        <w:t xml:space="preserve">. </w:t>
      </w:r>
      <w:r w:rsidRPr="00AA0A2C">
        <w:rPr>
          <w:rFonts w:asciiTheme="majorHAnsi" w:hAnsiTheme="majorHAnsi"/>
          <w:b w:val="0"/>
        </w:rPr>
        <w:t>Interpretación del Indicador RCB</w:t>
      </w:r>
    </w:p>
    <w:tbl>
      <w:tblPr>
        <w:tblStyle w:val="Gminis"/>
        <w:tblW w:w="8434" w:type="dxa"/>
        <w:tblLook w:val="04A0" w:firstRow="1" w:lastRow="0" w:firstColumn="1" w:lastColumn="0" w:noHBand="0" w:noVBand="1"/>
      </w:tblPr>
      <w:tblGrid>
        <w:gridCol w:w="2972"/>
        <w:gridCol w:w="5462"/>
      </w:tblGrid>
      <w:tr w:rsidR="00CD1F06" w:rsidRPr="00AA0A2C" w:rsidTr="007B4700">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972" w:type="dxa"/>
            <w:vAlign w:val="center"/>
          </w:tcPr>
          <w:p w:rsidR="00CD1F06" w:rsidRPr="00AA0A2C" w:rsidRDefault="00B44058" w:rsidP="007B4700">
            <w:pPr>
              <w:jc w:val="center"/>
              <w:rPr>
                <w:rFonts w:asciiTheme="majorHAnsi" w:hAnsiTheme="majorHAnsi"/>
                <w:sz w:val="20"/>
                <w:szCs w:val="20"/>
              </w:rPr>
            </w:pPr>
            <w:r w:rsidRPr="00AA0A2C">
              <w:rPr>
                <w:rFonts w:asciiTheme="majorHAnsi" w:hAnsiTheme="majorHAnsi"/>
                <w:sz w:val="20"/>
                <w:szCs w:val="20"/>
              </w:rPr>
              <w:t>RELACIÓN BENEFICIO COSTO</w:t>
            </w:r>
          </w:p>
        </w:tc>
        <w:tc>
          <w:tcPr>
            <w:tcW w:w="5462" w:type="dxa"/>
            <w:vAlign w:val="center"/>
          </w:tcPr>
          <w:p w:rsidR="00CD1F06" w:rsidRPr="00AA0A2C" w:rsidRDefault="00B44058" w:rsidP="007B470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AA0A2C">
              <w:rPr>
                <w:rFonts w:asciiTheme="majorHAnsi" w:hAnsiTheme="majorHAnsi"/>
                <w:sz w:val="20"/>
                <w:szCs w:val="20"/>
              </w:rPr>
              <w:t>INTERPRETACIÓN</w:t>
            </w:r>
          </w:p>
        </w:tc>
      </w:tr>
      <w:tr w:rsidR="00CD1F06" w:rsidRPr="00AA0A2C" w:rsidTr="007B4700">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tcPr>
          <w:p w:rsidR="00CD1F06" w:rsidRPr="00AA0A2C" w:rsidRDefault="00CD1F06" w:rsidP="007B4700">
            <w:pPr>
              <w:jc w:val="center"/>
              <w:rPr>
                <w:rFonts w:asciiTheme="majorHAnsi" w:hAnsiTheme="majorHAnsi"/>
                <w:sz w:val="20"/>
                <w:szCs w:val="20"/>
              </w:rPr>
            </w:pPr>
            <m:oMathPara>
              <m:oMath>
                <m:r>
                  <w:rPr>
                    <w:rFonts w:ascii="Cambria Math" w:hAnsi="Cambria Math"/>
                    <w:sz w:val="20"/>
                    <w:szCs w:val="20"/>
                  </w:rPr>
                  <m:t>RBC</m:t>
                </m:r>
                <m:r>
                  <m:rPr>
                    <m:sty m:val="p"/>
                  </m:rPr>
                  <w:rPr>
                    <w:rFonts w:ascii="Cambria Math" w:hAnsi="Cambria Math"/>
                    <w:sz w:val="20"/>
                    <w:szCs w:val="20"/>
                  </w:rPr>
                  <m:t>&gt;1</m:t>
                </m:r>
              </m:oMath>
            </m:oMathPara>
          </w:p>
        </w:tc>
        <w:tc>
          <w:tcPr>
            <w:tcW w:w="5462" w:type="dxa"/>
            <w:vAlign w:val="center"/>
          </w:tcPr>
          <w:p w:rsidR="00CD1F06" w:rsidRPr="00AA0A2C" w:rsidRDefault="00CD1F06" w:rsidP="007B47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A0A2C">
              <w:rPr>
                <w:rFonts w:asciiTheme="majorHAnsi" w:hAnsiTheme="majorHAnsi"/>
                <w:sz w:val="20"/>
                <w:szCs w:val="20"/>
              </w:rPr>
              <w:t xml:space="preserve">El proyecto genera bienestar social, por lo </w:t>
            </w:r>
            <w:r w:rsidR="00C50768" w:rsidRPr="00AA0A2C">
              <w:rPr>
                <w:rFonts w:asciiTheme="majorHAnsi" w:hAnsiTheme="majorHAnsi"/>
                <w:sz w:val="20"/>
                <w:szCs w:val="20"/>
              </w:rPr>
              <w:t>tanto,</w:t>
            </w:r>
            <w:r w:rsidRPr="00AA0A2C">
              <w:rPr>
                <w:rFonts w:asciiTheme="majorHAnsi" w:hAnsiTheme="majorHAnsi"/>
                <w:sz w:val="20"/>
                <w:szCs w:val="20"/>
              </w:rPr>
              <w:t xml:space="preserve"> se acepta el megaproyecto.</w:t>
            </w:r>
          </w:p>
        </w:tc>
      </w:tr>
      <w:tr w:rsidR="00CD1F06" w:rsidRPr="00AA0A2C" w:rsidTr="007B4700">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tcPr>
          <w:p w:rsidR="00CD1F06" w:rsidRPr="00AA0A2C" w:rsidRDefault="00CD1F06" w:rsidP="007B4700">
            <w:pPr>
              <w:jc w:val="center"/>
              <w:rPr>
                <w:rFonts w:asciiTheme="majorHAnsi" w:hAnsiTheme="majorHAnsi"/>
                <w:sz w:val="20"/>
                <w:szCs w:val="20"/>
              </w:rPr>
            </w:pPr>
            <m:oMathPara>
              <m:oMath>
                <m:r>
                  <w:rPr>
                    <w:rFonts w:ascii="Cambria Math" w:hAnsi="Cambria Math"/>
                    <w:sz w:val="20"/>
                    <w:szCs w:val="20"/>
                  </w:rPr>
                  <m:t>RBC</m:t>
                </m:r>
                <m:r>
                  <m:rPr>
                    <m:sty m:val="p"/>
                  </m:rPr>
                  <w:rPr>
                    <w:rFonts w:ascii="Cambria Math" w:hAnsi="Cambria Math"/>
                    <w:sz w:val="20"/>
                    <w:szCs w:val="20"/>
                  </w:rPr>
                  <m:t>=1</m:t>
                </m:r>
              </m:oMath>
            </m:oMathPara>
          </w:p>
        </w:tc>
        <w:tc>
          <w:tcPr>
            <w:tcW w:w="5462" w:type="dxa"/>
            <w:vAlign w:val="center"/>
          </w:tcPr>
          <w:p w:rsidR="00CD1F06" w:rsidRPr="00AA0A2C" w:rsidRDefault="00CD1F06" w:rsidP="007B47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A0A2C">
              <w:rPr>
                <w:rFonts w:asciiTheme="majorHAnsi" w:hAnsiTheme="majorHAnsi"/>
                <w:sz w:val="20"/>
                <w:szCs w:val="20"/>
              </w:rPr>
              <w:t xml:space="preserve">El proyecto no presenta cambios en bienestar social, por lo </w:t>
            </w:r>
            <w:r w:rsidR="00C50768" w:rsidRPr="00AA0A2C">
              <w:rPr>
                <w:rFonts w:asciiTheme="majorHAnsi" w:hAnsiTheme="majorHAnsi"/>
                <w:sz w:val="20"/>
                <w:szCs w:val="20"/>
              </w:rPr>
              <w:t>tanto,</w:t>
            </w:r>
            <w:r w:rsidRPr="00AA0A2C">
              <w:rPr>
                <w:rFonts w:asciiTheme="majorHAnsi" w:hAnsiTheme="majorHAnsi"/>
                <w:sz w:val="20"/>
                <w:szCs w:val="20"/>
              </w:rPr>
              <w:t xml:space="preserve"> es indiferente.</w:t>
            </w:r>
          </w:p>
        </w:tc>
      </w:tr>
      <w:tr w:rsidR="00CD1F06" w:rsidRPr="00AA0A2C" w:rsidTr="007B4700">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tcPr>
          <w:p w:rsidR="00CD1F06" w:rsidRPr="00AA0A2C" w:rsidRDefault="00CD1F06" w:rsidP="007B4700">
            <w:pPr>
              <w:jc w:val="center"/>
              <w:rPr>
                <w:rFonts w:asciiTheme="majorHAnsi" w:hAnsiTheme="majorHAnsi"/>
                <w:sz w:val="20"/>
                <w:szCs w:val="20"/>
              </w:rPr>
            </w:pPr>
            <m:oMathPara>
              <m:oMath>
                <m:r>
                  <w:rPr>
                    <w:rFonts w:ascii="Cambria Math" w:hAnsi="Cambria Math"/>
                    <w:sz w:val="20"/>
                    <w:szCs w:val="20"/>
                  </w:rPr>
                  <m:t>RBC</m:t>
                </m:r>
                <m:r>
                  <m:rPr>
                    <m:sty m:val="p"/>
                  </m:rPr>
                  <w:rPr>
                    <w:rFonts w:ascii="Cambria Math" w:hAnsi="Cambria Math"/>
                    <w:sz w:val="20"/>
                    <w:szCs w:val="20"/>
                  </w:rPr>
                  <m:t>&lt;1</m:t>
                </m:r>
              </m:oMath>
            </m:oMathPara>
          </w:p>
        </w:tc>
        <w:tc>
          <w:tcPr>
            <w:tcW w:w="5462" w:type="dxa"/>
            <w:vAlign w:val="center"/>
          </w:tcPr>
          <w:p w:rsidR="00CD1F06" w:rsidRPr="00AA0A2C" w:rsidRDefault="00CD1F06" w:rsidP="007B47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A0A2C">
              <w:rPr>
                <w:rFonts w:asciiTheme="majorHAnsi" w:hAnsiTheme="majorHAnsi"/>
                <w:sz w:val="20"/>
                <w:szCs w:val="20"/>
              </w:rPr>
              <w:t>El proyecto empeora el bienestar social. Por lo tanto, no es recomendable su ejecución.</w:t>
            </w:r>
          </w:p>
        </w:tc>
      </w:tr>
    </w:tbl>
    <w:p w:rsidR="00B44058" w:rsidRPr="00AA0A2C" w:rsidRDefault="007B4700" w:rsidP="007B4700">
      <w:pPr>
        <w:pStyle w:val="Notas"/>
        <w:rPr>
          <w:lang w:val="es-ES_tradnl"/>
        </w:rPr>
      </w:pPr>
      <w:bookmarkStart w:id="49" w:name="_Toc381338371"/>
      <w:bookmarkStart w:id="50" w:name="_Toc382295658"/>
      <w:r>
        <w:t xml:space="preserve">Fuente </w:t>
      </w:r>
      <w:r w:rsidR="00C50768" w:rsidRPr="00AA0A2C">
        <w:t xml:space="preserve">Fuente </w:t>
      </w:r>
      <w:r w:rsidR="00B44058" w:rsidRPr="00AA0A2C">
        <w:rPr>
          <w:lang w:val="es-ES_tradnl"/>
        </w:rPr>
        <w:t>CEDE, Uniandes. MAVDT 2010</w:t>
      </w:r>
    </w:p>
    <w:bookmarkEnd w:id="49"/>
    <w:bookmarkEnd w:id="50"/>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En lo que respecta al Análisis Costo Beneficio Ambiental  este es  un componente de la evaluación económica y social de proyectos o del Análisis Costo-Beneficio (ACB) y aunque el Estudio de Impacto Ambiental constituye el  instrumento por excelencia para la identificación y evaluación física de los impactos ambientales  y por ende para el otorgamiento de la licencia ambiental por parte de la autoridad ambiental competente, la valoración de estos impactos por sí sola no es suficiente para decidir sobre la  conveniencia o aporte del proyecto a un nivel generalizado de  bienestar (Nacional, regional y/o local). El ACB incorporando la variable ambiental se puede expresar de la siguiente manera:</w:t>
      </w:r>
    </w:p>
    <w:p w:rsidR="00CD1F06" w:rsidRPr="00AA0A2C" w:rsidRDefault="00CD1F06" w:rsidP="00CD1F06">
      <w:pPr>
        <w:rPr>
          <w:rFonts w:asciiTheme="majorHAnsi" w:hAnsiTheme="majorHAnsi"/>
        </w:rPr>
      </w:pPr>
    </w:p>
    <w:p w:rsidR="00CD1F06" w:rsidRPr="00AA0A2C" w:rsidRDefault="00CD1F06" w:rsidP="00B44058">
      <w:pPr>
        <w:jc w:val="center"/>
        <w:rPr>
          <w:rFonts w:asciiTheme="majorHAnsi" w:hAnsiTheme="majorHAnsi"/>
        </w:rPr>
      </w:pPr>
      <w:r w:rsidRPr="00AA0A2C">
        <w:rPr>
          <w:rFonts w:asciiTheme="majorHAnsi" w:hAnsiTheme="majorHAnsi"/>
          <w:noProof/>
          <w:lang w:eastAsia="es-CO"/>
        </w:rPr>
        <w:drawing>
          <wp:inline distT="0" distB="0" distL="0" distR="0" wp14:anchorId="7B92A57C" wp14:editId="43E37504">
            <wp:extent cx="2004060" cy="278130"/>
            <wp:effectExtent l="19050" t="0" r="0" b="0"/>
            <wp:docPr id="5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srcRect/>
                    <a:stretch>
                      <a:fillRect/>
                    </a:stretch>
                  </pic:blipFill>
                  <pic:spPr bwMode="auto">
                    <a:xfrm>
                      <a:off x="0" y="0"/>
                      <a:ext cx="2004060" cy="278130"/>
                    </a:xfrm>
                    <a:prstGeom prst="rect">
                      <a:avLst/>
                    </a:prstGeom>
                    <a:noFill/>
                    <a:ln w="9525">
                      <a:noFill/>
                      <a:miter lim="800000"/>
                      <a:headEnd/>
                      <a:tailEnd/>
                    </a:ln>
                  </pic:spPr>
                </pic:pic>
              </a:graphicData>
            </a:graphic>
          </wp:inline>
        </w:drawing>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Donde, VP y VPN son el valor presente y el valor presente neto del proyecto usando una tasa de descuento “r”; B son los beneficios directos del proyecto; C, los costos directos y E, los costos externos (ambientales) netos del proyecto. Los costos ambientales netos, E, pueden ser negativos o positivos. Para el componente ambiental se trata de identificar las externalidades, o en otros términos, los impactos negativo (costos) o positivos (beneficio) que se impone o transmite a un grupo o individuo ajeno, o externo a la puesta en marcha de un proyecto, bien sean estos costos o beneficios de índole económico o social.</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La dificultad de incorporar los costos y  beneficios ambientales en la evaluación de proyectos surge de la dificultad de valorarlos empíricamente, por lo que como se mencionó anteriormente, la valoración de estos costos y beneficios se puede estimar en función de la disponibilidad a pagar de los individuos por un cambio favorable o que estarían dispuestos a aceptar en compensación por un cambio desfavorables en las condiciones que afectan su bienestar, todo esto derivado de la aplicación de acciones, proyectos o políticas del gobierno.</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Los proyectos pueden producir tanto impactos negativos como positivos. Los impactos positivos son aquellos que generan externalidades positivas y efectos indirectos que mejoran el bienestar económico y la calidad de vida de las personas, todo esto traducido en beneficios ambientales. Por el contrario, los impactos negativos son los que se manifiestan en términos de externalidades negativas que no son más que costos sociales tales como afectaciones a la salud pública, reducción de la cantidad y calidad de recursos naturales y degradación de ecosistemas.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Estos impactos, negativos y positivos, pueden ser de tipo internalizable y no internalizables</w:t>
      </w:r>
      <w:r w:rsidRPr="00AA0A2C">
        <w:rPr>
          <w:rFonts w:asciiTheme="majorHAnsi" w:hAnsiTheme="majorHAnsi"/>
          <w:vertAlign w:val="superscript"/>
        </w:rPr>
        <w:footnoteReference w:id="5"/>
      </w:r>
      <w:r w:rsidRPr="00AA0A2C">
        <w:rPr>
          <w:rFonts w:asciiTheme="majorHAnsi" w:hAnsiTheme="majorHAnsi"/>
        </w:rPr>
        <w:t>. Los impactos ambientales internalizables son todos aquellos impactos que se pueden corregir y/o mitigar y se pueden llevar a un estado muy cercano al que se tenía antes del impacto. Por ejemplo, se pueden corregir a través de la implementación de planes de manejo ambiental que sean efectivos en reversar las afectaciones.</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 xml:space="preserve">En cambio, los impactos no internalizables, son aquellos que no se pueden reversar totalmente en términos de la afectación generada. Se manifiestan en términos de externalidades que generan importantes costos para la sociedad y que amenazan con garantizar </w:t>
      </w:r>
      <w:r w:rsidR="005A3BB2" w:rsidRPr="00AA0A2C">
        <w:rPr>
          <w:rFonts w:asciiTheme="majorHAnsi" w:hAnsiTheme="majorHAnsi"/>
        </w:rPr>
        <w:t>la sostenibilidad</w:t>
      </w:r>
      <w:r w:rsidRPr="00AA0A2C">
        <w:rPr>
          <w:rFonts w:asciiTheme="majorHAnsi" w:hAnsiTheme="majorHAnsi"/>
        </w:rPr>
        <w:t xml:space="preserve"> del capital natural, indispensable para la existencia de las futuras generaciones. </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Una vez valorados los beneficios y costos ambientales se procede al cálculo de los indicadores de rentabilidad VPN o RBC, sin embargo, tal como se mencionó anteriormente el ACB ambiental es una parte del Análisis Costos Beneficio o Evaluación Económica del Proyecto, por consiguiente si resultara una Relación Beneficio Costo Ambiental menor que uno o Valor Presente menor que Cero no es posible sacar conclusiones definitivas sobre la real contribución del proyecto al bienestar de la sociedad y sobre la aceptación o rechazo del proyecto, al menos que se incluya en el análisis la valoración de todos los impactos del proyecto.</w:t>
      </w:r>
    </w:p>
    <w:p w:rsidR="00CD1F06" w:rsidRPr="00AA0A2C" w:rsidRDefault="00CD1F06" w:rsidP="00CD1F06">
      <w:pPr>
        <w:rPr>
          <w:rFonts w:asciiTheme="majorHAnsi" w:hAnsiTheme="majorHAnsi"/>
        </w:rPr>
      </w:pPr>
    </w:p>
    <w:p w:rsidR="00CD1F06" w:rsidRPr="00AA0A2C" w:rsidRDefault="00CD1F06" w:rsidP="00CD1F06">
      <w:pPr>
        <w:rPr>
          <w:rFonts w:asciiTheme="majorHAnsi" w:hAnsiTheme="majorHAnsi"/>
        </w:rPr>
      </w:pPr>
      <w:r w:rsidRPr="00AA0A2C">
        <w:rPr>
          <w:rFonts w:asciiTheme="majorHAnsi" w:hAnsiTheme="majorHAnsi"/>
        </w:rPr>
        <w:t>Ahora bien, se prefiere que los beneficios ambientales sean mayores que los costos ambientales porque es un indicador no sólo de uso sostenible de los recursos naturales, sino que el proyecto con seguridad será rentable desde el punto de vista social, permitiendo a las autoridades ambientales tomar decisiones más acertadas sobre autorizaciones ambientales basados en criterios económicos y no físicos.</w:t>
      </w:r>
    </w:p>
    <w:p w:rsidR="005A3BB2" w:rsidRPr="00AA0A2C" w:rsidRDefault="005A3BB2">
      <w:pPr>
        <w:spacing w:line="240" w:lineRule="auto"/>
        <w:contextualSpacing w:val="0"/>
        <w:jc w:val="left"/>
        <w:rPr>
          <w:rFonts w:asciiTheme="majorHAnsi" w:eastAsia="Times New Roman" w:hAnsiTheme="majorHAnsi"/>
          <w:b/>
          <w:bCs/>
          <w:caps/>
          <w:kern w:val="32"/>
          <w:szCs w:val="32"/>
        </w:rPr>
      </w:pPr>
      <w:bookmarkStart w:id="51" w:name="_Toc367786921"/>
      <w:bookmarkStart w:id="52" w:name="_Toc381338337"/>
    </w:p>
    <w:p w:rsidR="005A3BB2" w:rsidRPr="00AA0A2C" w:rsidRDefault="005A3BB2" w:rsidP="005A3BB2">
      <w:pPr>
        <w:pStyle w:val="Ttulo2"/>
        <w:rPr>
          <w:rFonts w:asciiTheme="majorHAnsi" w:hAnsiTheme="majorHAnsi"/>
        </w:rPr>
      </w:pPr>
      <w:bookmarkStart w:id="53" w:name="_Toc445192929"/>
      <w:r w:rsidRPr="00AA0A2C">
        <w:rPr>
          <w:rFonts w:asciiTheme="majorHAnsi" w:hAnsiTheme="majorHAnsi"/>
        </w:rPr>
        <w:t>EVALUACIÓN AMBIENTAL</w:t>
      </w:r>
      <w:bookmarkEnd w:id="51"/>
      <w:bookmarkEnd w:id="52"/>
      <w:bookmarkEnd w:id="53"/>
    </w:p>
    <w:p w:rsidR="005A3BB2" w:rsidRPr="00AA0A2C" w:rsidRDefault="005A3BB2" w:rsidP="005A3BB2">
      <w:pPr>
        <w:rPr>
          <w:rFonts w:asciiTheme="majorHAnsi" w:hAnsiTheme="majorHAnsi" w:cs="Arial"/>
        </w:rPr>
      </w:pPr>
    </w:p>
    <w:p w:rsidR="005A3BB2" w:rsidRPr="00AA0A2C" w:rsidRDefault="005A3BB2" w:rsidP="005A3BB2">
      <w:pPr>
        <w:rPr>
          <w:rFonts w:asciiTheme="majorHAnsi" w:hAnsiTheme="majorHAnsi" w:cs="Arial"/>
        </w:rPr>
      </w:pPr>
      <w:r w:rsidRPr="00AA0A2C">
        <w:rPr>
          <w:rFonts w:asciiTheme="majorHAnsi" w:hAnsiTheme="majorHAnsi" w:cs="Arial"/>
        </w:rPr>
        <w:t xml:space="preserve">La evaluación ambiental se basa en el EIA y los análisis son consistentes con las directrices formuladas en el Manual Técnico del MAVDT que constituye una guía importante para la valoración de los impactos ambientales. </w:t>
      </w:r>
    </w:p>
    <w:p w:rsidR="005A3BB2" w:rsidRPr="00AA0A2C" w:rsidRDefault="005A3BB2" w:rsidP="005A3BB2">
      <w:pPr>
        <w:rPr>
          <w:rFonts w:asciiTheme="majorHAnsi" w:hAnsiTheme="majorHAnsi" w:cs="Arial"/>
          <w:b/>
        </w:rPr>
      </w:pPr>
    </w:p>
    <w:p w:rsidR="005A3BB2" w:rsidRPr="00AA0A2C" w:rsidRDefault="005A3BB2" w:rsidP="005A3BB2">
      <w:pPr>
        <w:pStyle w:val="Ttulo3"/>
        <w:rPr>
          <w:rFonts w:asciiTheme="majorHAnsi" w:hAnsiTheme="majorHAnsi"/>
          <w:b w:val="0"/>
        </w:rPr>
      </w:pPr>
      <w:bookmarkStart w:id="54" w:name="_Toc367786922"/>
      <w:bookmarkStart w:id="55" w:name="_Toc381338338"/>
      <w:bookmarkStart w:id="56" w:name="_Toc445192930"/>
      <w:r w:rsidRPr="00AA0A2C">
        <w:rPr>
          <w:rFonts w:asciiTheme="majorHAnsi" w:hAnsiTheme="majorHAnsi"/>
        </w:rPr>
        <w:t>Impactos Ambientales del Proyecto</w:t>
      </w:r>
      <w:bookmarkEnd w:id="54"/>
      <w:bookmarkEnd w:id="55"/>
      <w:bookmarkEnd w:id="56"/>
    </w:p>
    <w:p w:rsidR="005A3BB2" w:rsidRPr="00AA0A2C" w:rsidRDefault="005A3BB2" w:rsidP="005A3BB2">
      <w:pPr>
        <w:rPr>
          <w:rFonts w:asciiTheme="majorHAnsi" w:hAnsiTheme="majorHAnsi" w:cs="Arial"/>
        </w:rPr>
      </w:pPr>
    </w:p>
    <w:p w:rsidR="005A3BB2" w:rsidRPr="00AA0A2C" w:rsidRDefault="005A3BB2" w:rsidP="005A3BB2">
      <w:pPr>
        <w:rPr>
          <w:rFonts w:asciiTheme="majorHAnsi" w:hAnsiTheme="majorHAnsi" w:cs="Arial"/>
        </w:rPr>
      </w:pPr>
      <w:r w:rsidRPr="00AA0A2C">
        <w:rPr>
          <w:rFonts w:asciiTheme="majorHAnsi" w:hAnsiTheme="majorHAnsi" w:cs="Arial"/>
        </w:rPr>
        <w:t xml:space="preserve">El Manual Técnico de Valoración Económica de Impactos Ambientales establece que la estrategia más adecuada para abordar el análisis ambiental, es aquella donde se parte de la </w:t>
      </w:r>
      <w:r w:rsidRPr="00AA0A2C">
        <w:rPr>
          <w:rFonts w:asciiTheme="majorHAnsi" w:hAnsiTheme="majorHAnsi" w:cs="Arial"/>
          <w:b/>
          <w:i/>
        </w:rPr>
        <w:t>evaluación de los impactos</w:t>
      </w:r>
      <w:r w:rsidRPr="00AA0A2C">
        <w:rPr>
          <w:rFonts w:asciiTheme="majorHAnsi" w:hAnsiTheme="majorHAnsi" w:cs="Arial"/>
        </w:rPr>
        <w:t>. En el contexto de la valoración económica, una de las características más relevantes que se debe tener en cuenta, aparte de los demás atributos cualitativos usados para la jerarquización del impacto, se refiere a su carácter interno o externo</w:t>
      </w:r>
      <w:r w:rsidRPr="00AA0A2C">
        <w:rPr>
          <w:rFonts w:asciiTheme="majorHAnsi" w:hAnsiTheme="majorHAnsi" w:cs="Arial"/>
          <w:vertAlign w:val="superscript"/>
        </w:rPr>
        <w:footnoteReference w:id="6"/>
      </w:r>
      <w:r w:rsidRPr="00AA0A2C">
        <w:rPr>
          <w:rFonts w:asciiTheme="majorHAnsi" w:hAnsiTheme="majorHAnsi" w:cs="Arial"/>
        </w:rPr>
        <w:t xml:space="preserve">. </w:t>
      </w:r>
    </w:p>
    <w:p w:rsidR="005A3BB2" w:rsidRPr="00AA0A2C" w:rsidRDefault="005A3BB2" w:rsidP="005A3BB2">
      <w:pPr>
        <w:rPr>
          <w:rFonts w:asciiTheme="majorHAnsi" w:hAnsiTheme="majorHAnsi" w:cs="Arial"/>
        </w:rPr>
      </w:pPr>
    </w:p>
    <w:p w:rsidR="005A3BB2" w:rsidRPr="00AA0A2C" w:rsidRDefault="005A3BB2" w:rsidP="005A3BB2">
      <w:pPr>
        <w:rPr>
          <w:rFonts w:asciiTheme="majorHAnsi" w:hAnsiTheme="majorHAnsi" w:cs="Arial"/>
        </w:rPr>
      </w:pPr>
      <w:r w:rsidRPr="00AA0A2C">
        <w:rPr>
          <w:rFonts w:asciiTheme="majorHAnsi" w:hAnsiTheme="majorHAnsi" w:cs="Arial"/>
        </w:rPr>
        <w:t>Mediante la aplicación de la metodología establecida en él se identificaron las actividades del proyecto que generarán mayores impactos sobre el ambiente y se estableció cuáles componentes ambientales tienen mayor posibilidad de afectación por el desarrollo del proyecto en sus diferentes fases señaladas en la descripción del proyecto.</w:t>
      </w:r>
    </w:p>
    <w:p w:rsidR="005A3BB2" w:rsidRPr="00AA0A2C" w:rsidRDefault="005A3BB2" w:rsidP="005A3BB2">
      <w:pPr>
        <w:rPr>
          <w:rFonts w:asciiTheme="majorHAnsi" w:hAnsiTheme="majorHAnsi" w:cs="Arial"/>
        </w:rPr>
      </w:pPr>
    </w:p>
    <w:p w:rsidR="005A3BB2" w:rsidRPr="00AA0A2C" w:rsidRDefault="005A3BB2" w:rsidP="005A3BB2">
      <w:pPr>
        <w:rPr>
          <w:rFonts w:asciiTheme="majorHAnsi" w:hAnsiTheme="majorHAnsi" w:cs="Arial"/>
        </w:rPr>
      </w:pPr>
      <w:r w:rsidRPr="00AA0A2C">
        <w:rPr>
          <w:rFonts w:asciiTheme="majorHAnsi" w:hAnsiTheme="majorHAnsi" w:cs="Arial"/>
        </w:rPr>
        <w:t>La evaluación de los impactos se llevó a cabo mediante la confrontación entre las actividades del proyecto con potencial de generar impactos y la oferta ambiental del área de estudio, la cual resulta de la caracterización del medio abiótico, biótico y socio económico y cultural en cada uno de sus componentes e indicadores presentados en el Capítulo de Caracterización del Área de Influencia del Proyecto, y la demanda de recursos naturales por parte del proyecto, consignada en el respectivo Capítulo .</w:t>
      </w:r>
    </w:p>
    <w:p w:rsidR="005A3BB2" w:rsidRPr="00AA0A2C" w:rsidRDefault="005A3BB2" w:rsidP="005A3BB2">
      <w:pPr>
        <w:rPr>
          <w:rFonts w:asciiTheme="majorHAnsi" w:hAnsiTheme="majorHAnsi" w:cs="Arial"/>
        </w:rPr>
      </w:pPr>
    </w:p>
    <w:p w:rsidR="005A3BB2" w:rsidRPr="00AA0A2C" w:rsidRDefault="005A3BB2" w:rsidP="005A3BB2">
      <w:pPr>
        <w:rPr>
          <w:rFonts w:asciiTheme="majorHAnsi" w:hAnsiTheme="majorHAnsi" w:cs="Arial"/>
        </w:rPr>
      </w:pPr>
      <w:r w:rsidRPr="00AA0A2C">
        <w:rPr>
          <w:rFonts w:asciiTheme="majorHAnsi" w:hAnsiTheme="majorHAnsi" w:cs="Arial"/>
        </w:rPr>
        <w:t xml:space="preserve">En términos generales el desarrollo y materialización de las actividades del proyecto, desde el punto de vista abiótico, biótico y socioeconómico tiene impactos, cuyas afectaciones se propone corregir o recuperar a través de la ejecución oportuna de las medidas previstas en el Plan de Manejo Ambiental diseñado conforme a los requerimientos de los términos de referencia que orientan el Estudio de Impacto Ambiental. </w:t>
      </w:r>
    </w:p>
    <w:p w:rsidR="005A3BB2" w:rsidRPr="00AA0A2C" w:rsidRDefault="005A3BB2" w:rsidP="005A3BB2">
      <w:pPr>
        <w:rPr>
          <w:rFonts w:asciiTheme="majorHAnsi" w:hAnsiTheme="majorHAnsi" w:cs="Arial"/>
        </w:rPr>
      </w:pPr>
    </w:p>
    <w:p w:rsidR="005A3BB2" w:rsidRPr="00AA0A2C" w:rsidRDefault="005A3BB2" w:rsidP="005A3BB2">
      <w:pPr>
        <w:rPr>
          <w:rFonts w:asciiTheme="majorHAnsi" w:hAnsiTheme="majorHAnsi" w:cs="Arial"/>
        </w:rPr>
      </w:pPr>
      <w:r w:rsidRPr="00AA0A2C">
        <w:rPr>
          <w:rFonts w:asciiTheme="majorHAnsi" w:hAnsiTheme="majorHAnsi" w:cs="Arial"/>
        </w:rPr>
        <w:t xml:space="preserve">La evaluación permitió identificar los posibles impactos, positivos o negativos, a generar durante las etapas de pre-construcción, construcción y operación del Proyecto y priorizar los mismos con el fin de determinar las medidas de manejo necesarias para prevenir, corregir, mitigar y/o compensar estos. </w:t>
      </w:r>
    </w:p>
    <w:p w:rsidR="005A3BB2" w:rsidRPr="00AA0A2C" w:rsidRDefault="005A3BB2" w:rsidP="005A3BB2">
      <w:pPr>
        <w:rPr>
          <w:rFonts w:asciiTheme="majorHAnsi" w:hAnsiTheme="majorHAnsi" w:cs="Arial"/>
        </w:rPr>
      </w:pPr>
    </w:p>
    <w:p w:rsidR="005A3BB2" w:rsidRPr="00AA0A2C" w:rsidRDefault="005A3BB2" w:rsidP="005A3BB2">
      <w:pPr>
        <w:rPr>
          <w:rFonts w:asciiTheme="majorHAnsi" w:hAnsiTheme="majorHAnsi" w:cs="Arial"/>
        </w:rPr>
      </w:pPr>
      <w:r w:rsidRPr="00AA0A2C">
        <w:rPr>
          <w:rFonts w:asciiTheme="majorHAnsi" w:hAnsiTheme="majorHAnsi" w:cs="Arial"/>
        </w:rPr>
        <w:t xml:space="preserve">Los impactos identificados y evaluados para cada uno de los componentes abiótico, biótico y socioeconómico, se han agrupado de acuerdo con su grado de importancia. A partir de la evaluación de los impactos ambientales se identificaron las actividades del proyecto que </w:t>
      </w:r>
      <w:r w:rsidR="00C50768" w:rsidRPr="00AA0A2C">
        <w:rPr>
          <w:rFonts w:asciiTheme="majorHAnsi" w:hAnsiTheme="majorHAnsi" w:cs="Arial"/>
        </w:rPr>
        <w:t>generan mayores</w:t>
      </w:r>
      <w:r w:rsidRPr="00AA0A2C">
        <w:rPr>
          <w:rFonts w:asciiTheme="majorHAnsi" w:hAnsiTheme="majorHAnsi" w:cs="Arial"/>
        </w:rPr>
        <w:t xml:space="preserve"> repercusiones, teniendo en cuenta el porcentaje de interacciones con el ambiente.</w:t>
      </w:r>
      <w:bookmarkStart w:id="57" w:name="_Toc283394427"/>
      <w:bookmarkStart w:id="58" w:name="_Toc367786923"/>
    </w:p>
    <w:p w:rsidR="005A3BB2" w:rsidRPr="00AA0A2C" w:rsidRDefault="005A3BB2" w:rsidP="005A3BB2">
      <w:pPr>
        <w:rPr>
          <w:rFonts w:asciiTheme="majorHAnsi" w:hAnsiTheme="majorHAnsi"/>
        </w:rPr>
      </w:pPr>
    </w:p>
    <w:p w:rsidR="005A3BB2" w:rsidRPr="00AA0A2C" w:rsidRDefault="005A3BB2" w:rsidP="005A3BB2">
      <w:pPr>
        <w:pStyle w:val="Ttulo3"/>
        <w:numPr>
          <w:ilvl w:val="0"/>
          <w:numId w:val="0"/>
        </w:numPr>
        <w:rPr>
          <w:rFonts w:asciiTheme="majorHAnsi" w:hAnsiTheme="majorHAnsi"/>
          <w:b w:val="0"/>
        </w:rPr>
      </w:pPr>
      <w:bookmarkStart w:id="59" w:name="_Toc381338339"/>
      <w:bookmarkStart w:id="60" w:name="_Toc445192931"/>
      <w:r w:rsidRPr="00AA0A2C">
        <w:rPr>
          <w:rFonts w:asciiTheme="majorHAnsi" w:hAnsiTheme="majorHAnsi"/>
        </w:rPr>
        <w:t>Selección de Impactos Objeto de Valoración Económica</w:t>
      </w:r>
      <w:bookmarkEnd w:id="57"/>
      <w:bookmarkEnd w:id="58"/>
      <w:bookmarkEnd w:id="59"/>
      <w:bookmarkEnd w:id="60"/>
    </w:p>
    <w:p w:rsidR="005A3BB2" w:rsidRPr="00AA0A2C" w:rsidRDefault="005A3BB2" w:rsidP="005A3BB2">
      <w:pPr>
        <w:rPr>
          <w:rFonts w:asciiTheme="majorHAnsi" w:hAnsiTheme="majorHAnsi" w:cs="Arial"/>
        </w:rPr>
      </w:pPr>
    </w:p>
    <w:p w:rsidR="005A3BB2" w:rsidRDefault="005A3BB2" w:rsidP="005A3BB2">
      <w:pPr>
        <w:rPr>
          <w:rFonts w:asciiTheme="majorHAnsi" w:hAnsiTheme="majorHAnsi" w:cs="Arial"/>
        </w:rPr>
      </w:pPr>
      <w:r w:rsidRPr="00AA0A2C">
        <w:rPr>
          <w:rFonts w:asciiTheme="majorHAnsi" w:hAnsiTheme="majorHAnsi" w:cs="Arial"/>
        </w:rPr>
        <w:t>Dado que se trata de la realización de un Análisis Costo Beneficio Ambiental, la selección de los impactos debe abarcar los positivos y negativos y como el Manual Técnico de Valoración Económica del MAVDT recomienda que la evaluación se realice sobre los impactos más relevantes, se procedió entonces a seleccionar del total de lo</w:t>
      </w:r>
      <w:r w:rsidR="00C50768" w:rsidRPr="00AA0A2C">
        <w:rPr>
          <w:rFonts w:asciiTheme="majorHAnsi" w:hAnsiTheme="majorHAnsi" w:cs="Arial"/>
        </w:rPr>
        <w:t xml:space="preserve">s impactos identificados </w:t>
      </w:r>
      <w:r w:rsidRPr="00AA0A2C">
        <w:rPr>
          <w:rFonts w:asciiTheme="majorHAnsi" w:hAnsiTheme="majorHAnsi" w:cs="Arial"/>
        </w:rPr>
        <w:t xml:space="preserve">que tuvieran mayor nivel de importancia por su capacidad de generar deterioros ambientales y daños a la población o que por el contrario, constituyen externalidades positivas que contribuyen al incremento en el nivel de bienestar de la población. </w:t>
      </w:r>
    </w:p>
    <w:p w:rsidR="00C635FA" w:rsidRPr="00AA0A2C" w:rsidRDefault="00C635FA">
      <w:pPr>
        <w:spacing w:line="240" w:lineRule="auto"/>
        <w:contextualSpacing w:val="0"/>
        <w:jc w:val="left"/>
        <w:rPr>
          <w:rFonts w:asciiTheme="majorHAnsi" w:hAnsiTheme="majorHAnsi"/>
          <w:b/>
          <w:bCs/>
          <w:sz w:val="20"/>
          <w:szCs w:val="20"/>
        </w:rPr>
      </w:pPr>
    </w:p>
    <w:p w:rsidR="00C50768" w:rsidRPr="00AA0A2C" w:rsidRDefault="00C50768" w:rsidP="00C50768">
      <w:pPr>
        <w:pStyle w:val="Tablas"/>
        <w:rPr>
          <w:rFonts w:asciiTheme="majorHAnsi" w:hAnsiTheme="majorHAnsi" w:cs="Arial"/>
        </w:rPr>
      </w:pPr>
      <w:r w:rsidRPr="00AA0A2C">
        <w:rPr>
          <w:rFonts w:asciiTheme="majorHAnsi" w:hAnsiTheme="majorHAnsi"/>
        </w:rPr>
        <w:t xml:space="preserve">Tabla </w:t>
      </w:r>
      <w:r w:rsidR="006D0D6E">
        <w:rPr>
          <w:rFonts w:asciiTheme="majorHAnsi" w:hAnsiTheme="majorHAnsi"/>
        </w:rPr>
        <w:fldChar w:fldCharType="begin"/>
      </w:r>
      <w:r w:rsidR="006D0D6E">
        <w:rPr>
          <w:rFonts w:asciiTheme="majorHAnsi" w:hAnsiTheme="majorHAnsi"/>
        </w:rPr>
        <w:instrText xml:space="preserve"> STYLEREF 1 \s </w:instrText>
      </w:r>
      <w:r w:rsidR="006D0D6E">
        <w:rPr>
          <w:rFonts w:asciiTheme="majorHAnsi" w:hAnsiTheme="majorHAnsi"/>
        </w:rPr>
        <w:fldChar w:fldCharType="separate"/>
      </w:r>
      <w:r w:rsidR="006D0D6E">
        <w:rPr>
          <w:rFonts w:asciiTheme="majorHAnsi" w:hAnsiTheme="majorHAnsi"/>
          <w:noProof/>
        </w:rPr>
        <w:t>10</w:t>
      </w:r>
      <w:r w:rsidR="006D0D6E">
        <w:rPr>
          <w:rFonts w:asciiTheme="majorHAnsi" w:hAnsiTheme="majorHAnsi"/>
        </w:rPr>
        <w:fldChar w:fldCharType="end"/>
      </w:r>
      <w:r w:rsidR="006D0D6E">
        <w:rPr>
          <w:rFonts w:asciiTheme="majorHAnsi" w:hAnsiTheme="majorHAnsi"/>
        </w:rPr>
        <w:t>.</w:t>
      </w:r>
      <w:r w:rsidR="006D0D6E">
        <w:rPr>
          <w:rFonts w:asciiTheme="majorHAnsi" w:hAnsiTheme="majorHAnsi"/>
        </w:rPr>
        <w:fldChar w:fldCharType="begin"/>
      </w:r>
      <w:r w:rsidR="006D0D6E">
        <w:rPr>
          <w:rFonts w:asciiTheme="majorHAnsi" w:hAnsiTheme="majorHAnsi"/>
        </w:rPr>
        <w:instrText xml:space="preserve"> SEQ Tabla \* ARABIC \s 1 </w:instrText>
      </w:r>
      <w:r w:rsidR="006D0D6E">
        <w:rPr>
          <w:rFonts w:asciiTheme="majorHAnsi" w:hAnsiTheme="majorHAnsi"/>
        </w:rPr>
        <w:fldChar w:fldCharType="separate"/>
      </w:r>
      <w:r w:rsidR="006D0D6E">
        <w:rPr>
          <w:rFonts w:asciiTheme="majorHAnsi" w:hAnsiTheme="majorHAnsi"/>
          <w:noProof/>
        </w:rPr>
        <w:t>3</w:t>
      </w:r>
      <w:r w:rsidR="006D0D6E">
        <w:rPr>
          <w:rFonts w:asciiTheme="majorHAnsi" w:hAnsiTheme="majorHAnsi"/>
        </w:rPr>
        <w:fldChar w:fldCharType="end"/>
      </w:r>
      <w:r w:rsidRPr="00AA0A2C">
        <w:rPr>
          <w:rFonts w:asciiTheme="majorHAnsi" w:hAnsiTheme="majorHAnsi"/>
        </w:rPr>
        <w:t xml:space="preserve"> </w:t>
      </w:r>
      <w:r w:rsidR="007B4700">
        <w:rPr>
          <w:rFonts w:asciiTheme="majorHAnsi" w:hAnsiTheme="majorHAnsi"/>
        </w:rPr>
        <w:t>Selección d</w:t>
      </w:r>
      <w:r w:rsidRPr="00AA0A2C">
        <w:rPr>
          <w:rFonts w:asciiTheme="majorHAnsi" w:hAnsiTheme="majorHAnsi"/>
        </w:rPr>
        <w:t>e los Impactos Negativos o Costos Ambientales</w:t>
      </w:r>
    </w:p>
    <w:tbl>
      <w:tblPr>
        <w:tblStyle w:val="Gminis"/>
        <w:tblW w:w="5000" w:type="pct"/>
        <w:tblLook w:val="04A0" w:firstRow="1" w:lastRow="0" w:firstColumn="1" w:lastColumn="0" w:noHBand="0" w:noVBand="1"/>
      </w:tblPr>
      <w:tblGrid>
        <w:gridCol w:w="840"/>
        <w:gridCol w:w="2416"/>
        <w:gridCol w:w="2976"/>
        <w:gridCol w:w="2029"/>
      </w:tblGrid>
      <w:tr w:rsidR="00C50768" w:rsidRPr="00AA0A2C" w:rsidTr="007B4700">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8" w:type="pct"/>
            <w:tcBorders>
              <w:top w:val="none" w:sz="0" w:space="0" w:color="auto"/>
              <w:left w:val="none" w:sz="0" w:space="0" w:color="auto"/>
              <w:bottom w:val="none" w:sz="0" w:space="0" w:color="auto"/>
            </w:tcBorders>
            <w:vAlign w:val="center"/>
          </w:tcPr>
          <w:p w:rsidR="005A3BB2" w:rsidRPr="00AA0A2C" w:rsidRDefault="005A3BB2" w:rsidP="007B4700">
            <w:pPr>
              <w:widowControl w:val="0"/>
              <w:jc w:val="center"/>
              <w:rPr>
                <w:rFonts w:asciiTheme="majorHAnsi" w:eastAsia="Times New Roman" w:hAnsiTheme="majorHAnsi" w:cs="Arial"/>
                <w:b w:val="0"/>
                <w:bCs/>
                <w:sz w:val="20"/>
                <w:szCs w:val="20"/>
                <w:lang w:eastAsia="es-ES"/>
              </w:rPr>
            </w:pPr>
            <w:r w:rsidRPr="00AA0A2C">
              <w:rPr>
                <w:rFonts w:asciiTheme="majorHAnsi" w:eastAsia="Times New Roman" w:hAnsiTheme="majorHAnsi" w:cs="Arial"/>
                <w:bCs/>
                <w:sz w:val="20"/>
                <w:szCs w:val="20"/>
                <w:lang w:eastAsia="es-ES"/>
              </w:rPr>
              <w:t>Medio</w:t>
            </w:r>
          </w:p>
        </w:tc>
        <w:tc>
          <w:tcPr>
            <w:tcW w:w="1462" w:type="pct"/>
            <w:tcBorders>
              <w:bottom w:val="none" w:sz="0" w:space="0" w:color="auto"/>
            </w:tcBorders>
            <w:vAlign w:val="center"/>
          </w:tcPr>
          <w:p w:rsidR="005A3BB2" w:rsidRPr="00AA0A2C" w:rsidRDefault="005A3BB2" w:rsidP="007B4700">
            <w:pPr>
              <w:widowControl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sz w:val="20"/>
                <w:szCs w:val="20"/>
                <w:lang w:eastAsia="es-ES"/>
              </w:rPr>
            </w:pPr>
            <w:r w:rsidRPr="00AA0A2C">
              <w:rPr>
                <w:rFonts w:asciiTheme="majorHAnsi" w:eastAsia="Times New Roman" w:hAnsiTheme="majorHAnsi" w:cs="Arial"/>
                <w:bCs/>
                <w:sz w:val="20"/>
                <w:szCs w:val="20"/>
                <w:lang w:eastAsia="es-ES"/>
              </w:rPr>
              <w:t>Impactos negativos o costos ambientales</w:t>
            </w:r>
          </w:p>
        </w:tc>
        <w:tc>
          <w:tcPr>
            <w:tcW w:w="1801" w:type="pct"/>
            <w:tcBorders>
              <w:bottom w:val="none" w:sz="0" w:space="0" w:color="auto"/>
            </w:tcBorders>
            <w:vAlign w:val="center"/>
          </w:tcPr>
          <w:p w:rsidR="005A3BB2" w:rsidRPr="00AA0A2C" w:rsidRDefault="005A3BB2" w:rsidP="007B4700">
            <w:pPr>
              <w:widowControl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sz w:val="20"/>
                <w:szCs w:val="20"/>
                <w:lang w:eastAsia="es-ES"/>
              </w:rPr>
            </w:pPr>
            <w:r w:rsidRPr="00AA0A2C">
              <w:rPr>
                <w:rFonts w:asciiTheme="majorHAnsi" w:eastAsia="Times New Roman" w:hAnsiTheme="majorHAnsi" w:cs="Arial"/>
                <w:bCs/>
                <w:sz w:val="20"/>
                <w:szCs w:val="20"/>
                <w:lang w:eastAsia="es-ES"/>
              </w:rPr>
              <w:t>Valoración</w:t>
            </w:r>
          </w:p>
        </w:tc>
        <w:tc>
          <w:tcPr>
            <w:tcW w:w="1228" w:type="pct"/>
            <w:tcBorders>
              <w:bottom w:val="none" w:sz="0" w:space="0" w:color="auto"/>
              <w:right w:val="none" w:sz="0" w:space="0" w:color="auto"/>
            </w:tcBorders>
            <w:vAlign w:val="center"/>
          </w:tcPr>
          <w:p w:rsidR="005A3BB2" w:rsidRPr="00AA0A2C" w:rsidRDefault="005A3BB2" w:rsidP="007B4700">
            <w:pPr>
              <w:widowControl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sz w:val="20"/>
                <w:szCs w:val="20"/>
                <w:lang w:eastAsia="es-ES"/>
              </w:rPr>
            </w:pPr>
            <w:r w:rsidRPr="00AA0A2C">
              <w:rPr>
                <w:rFonts w:asciiTheme="majorHAnsi" w:eastAsia="Times New Roman" w:hAnsiTheme="majorHAnsi" w:cs="Arial"/>
                <w:bCs/>
                <w:sz w:val="20"/>
                <w:szCs w:val="20"/>
                <w:lang w:eastAsia="es-ES"/>
              </w:rPr>
              <w:t>Servicios o Valores del Componente</w:t>
            </w:r>
          </w:p>
        </w:tc>
      </w:tr>
      <w:tr w:rsidR="00C50768" w:rsidRPr="00AA0A2C" w:rsidTr="007B4700">
        <w:trPr>
          <w:trHeight w:val="20"/>
        </w:trPr>
        <w:tc>
          <w:tcPr>
            <w:cnfStyle w:val="001000000000" w:firstRow="0" w:lastRow="0" w:firstColumn="1" w:lastColumn="0" w:oddVBand="0" w:evenVBand="0" w:oddHBand="0" w:evenHBand="0" w:firstRowFirstColumn="0" w:firstRowLastColumn="0" w:lastRowFirstColumn="0" w:lastRowLastColumn="0"/>
            <w:tcW w:w="508" w:type="pct"/>
            <w:vMerge w:val="restart"/>
            <w:tcBorders>
              <w:left w:val="none" w:sz="0" w:space="0" w:color="auto"/>
            </w:tcBorders>
            <w:textDirection w:val="btLr"/>
            <w:vAlign w:val="center"/>
          </w:tcPr>
          <w:p w:rsidR="005A3BB2" w:rsidRPr="00AA0A2C" w:rsidRDefault="005A3BB2" w:rsidP="007B4700">
            <w:pPr>
              <w:widowControl w:val="0"/>
              <w:jc w:val="center"/>
              <w:rPr>
                <w:rFonts w:asciiTheme="majorHAnsi" w:eastAsia="Times New Roman" w:hAnsiTheme="majorHAnsi" w:cs="Arial"/>
                <w:b/>
                <w:sz w:val="20"/>
                <w:szCs w:val="20"/>
                <w:lang w:eastAsia="es-ES"/>
              </w:rPr>
            </w:pPr>
            <w:r w:rsidRPr="00AA0A2C">
              <w:rPr>
                <w:rFonts w:asciiTheme="majorHAnsi" w:eastAsia="Times New Roman" w:hAnsiTheme="majorHAnsi" w:cs="Arial"/>
                <w:b/>
                <w:sz w:val="20"/>
                <w:szCs w:val="20"/>
                <w:lang w:eastAsia="es-ES"/>
              </w:rPr>
              <w:t>Biótico</w:t>
            </w:r>
          </w:p>
        </w:tc>
        <w:tc>
          <w:tcPr>
            <w:tcW w:w="1462" w:type="pct"/>
            <w:vMerge w:val="restart"/>
            <w:vAlign w:val="center"/>
          </w:tcPr>
          <w:p w:rsidR="005A3BB2" w:rsidRPr="00AA0A2C" w:rsidRDefault="005A3BB2"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r w:rsidRPr="00AA0A2C">
              <w:rPr>
                <w:rFonts w:asciiTheme="majorHAnsi" w:eastAsia="Times New Roman" w:hAnsiTheme="majorHAnsi" w:cs="Arial"/>
                <w:sz w:val="20"/>
                <w:szCs w:val="20"/>
                <w:lang w:eastAsia="es-ES"/>
              </w:rPr>
              <w:t>Disminución de cobertura vegetal</w:t>
            </w:r>
          </w:p>
        </w:tc>
        <w:tc>
          <w:tcPr>
            <w:tcW w:w="1801" w:type="pct"/>
            <w:vAlign w:val="center"/>
          </w:tcPr>
          <w:p w:rsidR="005A3BB2" w:rsidRPr="00AA0A2C" w:rsidRDefault="005A3BB2"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r w:rsidRPr="00AA0A2C">
              <w:rPr>
                <w:rFonts w:asciiTheme="majorHAnsi" w:eastAsia="Times New Roman" w:hAnsiTheme="majorHAnsi" w:cs="Arial"/>
                <w:sz w:val="20"/>
                <w:szCs w:val="20"/>
                <w:lang w:eastAsia="es-ES"/>
              </w:rPr>
              <w:t>Alteración de la capacidad de regulación hídrica.</w:t>
            </w:r>
          </w:p>
        </w:tc>
        <w:tc>
          <w:tcPr>
            <w:tcW w:w="1228" w:type="pct"/>
            <w:vAlign w:val="center"/>
          </w:tcPr>
          <w:p w:rsidR="005A3BB2" w:rsidRPr="00AA0A2C" w:rsidRDefault="005A3BB2"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r w:rsidRPr="00AA0A2C">
              <w:rPr>
                <w:rFonts w:asciiTheme="majorHAnsi" w:eastAsia="Times New Roman" w:hAnsiTheme="majorHAnsi" w:cs="Arial"/>
                <w:sz w:val="20"/>
                <w:szCs w:val="20"/>
                <w:lang w:eastAsia="es-ES"/>
              </w:rPr>
              <w:t>Valor de uso indirecto</w:t>
            </w:r>
          </w:p>
        </w:tc>
      </w:tr>
      <w:tr w:rsidR="00C50768" w:rsidRPr="00AA0A2C" w:rsidTr="007B4700">
        <w:trPr>
          <w:trHeight w:val="20"/>
        </w:trPr>
        <w:tc>
          <w:tcPr>
            <w:cnfStyle w:val="001000000000" w:firstRow="0" w:lastRow="0" w:firstColumn="1" w:lastColumn="0" w:oddVBand="0" w:evenVBand="0" w:oddHBand="0" w:evenHBand="0" w:firstRowFirstColumn="0" w:firstRowLastColumn="0" w:lastRowFirstColumn="0" w:lastRowLastColumn="0"/>
            <w:tcW w:w="508" w:type="pct"/>
            <w:vMerge/>
            <w:tcBorders>
              <w:left w:val="none" w:sz="0" w:space="0" w:color="auto"/>
            </w:tcBorders>
            <w:textDirection w:val="btLr"/>
            <w:vAlign w:val="center"/>
          </w:tcPr>
          <w:p w:rsidR="005A3BB2" w:rsidRPr="00AA0A2C" w:rsidRDefault="005A3BB2" w:rsidP="007B4700">
            <w:pPr>
              <w:widowControl w:val="0"/>
              <w:jc w:val="center"/>
              <w:rPr>
                <w:rFonts w:asciiTheme="majorHAnsi" w:eastAsia="Times New Roman" w:hAnsiTheme="majorHAnsi" w:cs="Arial"/>
                <w:sz w:val="20"/>
                <w:szCs w:val="20"/>
                <w:lang w:eastAsia="es-ES"/>
              </w:rPr>
            </w:pPr>
          </w:p>
        </w:tc>
        <w:tc>
          <w:tcPr>
            <w:tcW w:w="1462" w:type="pct"/>
            <w:vMerge/>
            <w:vAlign w:val="center"/>
          </w:tcPr>
          <w:p w:rsidR="005A3BB2" w:rsidRPr="00AA0A2C" w:rsidRDefault="005A3BB2"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p>
        </w:tc>
        <w:tc>
          <w:tcPr>
            <w:tcW w:w="1801" w:type="pct"/>
            <w:vAlign w:val="center"/>
          </w:tcPr>
          <w:p w:rsidR="005A3BB2" w:rsidRPr="00AA0A2C" w:rsidRDefault="005A3BB2"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r w:rsidRPr="00AA0A2C">
              <w:rPr>
                <w:rFonts w:asciiTheme="majorHAnsi" w:eastAsia="Times New Roman" w:hAnsiTheme="majorHAnsi" w:cs="Arial"/>
                <w:sz w:val="20"/>
                <w:szCs w:val="20"/>
                <w:lang w:eastAsia="es-ES"/>
              </w:rPr>
              <w:t>Alteración de la capacidad del régimen de retención de sedimentos</w:t>
            </w:r>
          </w:p>
        </w:tc>
        <w:tc>
          <w:tcPr>
            <w:tcW w:w="1228" w:type="pct"/>
            <w:vAlign w:val="center"/>
          </w:tcPr>
          <w:p w:rsidR="005A3BB2" w:rsidRPr="00AA0A2C" w:rsidRDefault="005A3BB2"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r w:rsidRPr="00AA0A2C">
              <w:rPr>
                <w:rFonts w:asciiTheme="majorHAnsi" w:eastAsia="Times New Roman" w:hAnsiTheme="majorHAnsi" w:cs="Arial"/>
                <w:sz w:val="20"/>
                <w:szCs w:val="20"/>
                <w:lang w:eastAsia="es-ES"/>
              </w:rPr>
              <w:t>Valor de uso indirecto</w:t>
            </w:r>
          </w:p>
        </w:tc>
      </w:tr>
      <w:tr w:rsidR="00C50768" w:rsidRPr="00AA0A2C" w:rsidTr="007B4700">
        <w:trPr>
          <w:trHeight w:val="20"/>
        </w:trPr>
        <w:tc>
          <w:tcPr>
            <w:cnfStyle w:val="001000000000" w:firstRow="0" w:lastRow="0" w:firstColumn="1" w:lastColumn="0" w:oddVBand="0" w:evenVBand="0" w:oddHBand="0" w:evenHBand="0" w:firstRowFirstColumn="0" w:firstRowLastColumn="0" w:lastRowFirstColumn="0" w:lastRowLastColumn="0"/>
            <w:tcW w:w="508" w:type="pct"/>
            <w:vMerge/>
            <w:tcBorders>
              <w:left w:val="none" w:sz="0" w:space="0" w:color="auto"/>
            </w:tcBorders>
            <w:textDirection w:val="btLr"/>
            <w:vAlign w:val="center"/>
          </w:tcPr>
          <w:p w:rsidR="005A3BB2" w:rsidRPr="00AA0A2C" w:rsidRDefault="005A3BB2" w:rsidP="007B4700">
            <w:pPr>
              <w:widowControl w:val="0"/>
              <w:jc w:val="center"/>
              <w:rPr>
                <w:rFonts w:asciiTheme="majorHAnsi" w:eastAsia="Times New Roman" w:hAnsiTheme="majorHAnsi" w:cs="Arial"/>
                <w:sz w:val="20"/>
                <w:szCs w:val="20"/>
                <w:lang w:eastAsia="es-ES"/>
              </w:rPr>
            </w:pPr>
          </w:p>
        </w:tc>
        <w:tc>
          <w:tcPr>
            <w:tcW w:w="1462" w:type="pct"/>
            <w:vMerge/>
            <w:vAlign w:val="center"/>
          </w:tcPr>
          <w:p w:rsidR="005A3BB2" w:rsidRPr="00AA0A2C" w:rsidRDefault="005A3BB2"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p>
        </w:tc>
        <w:tc>
          <w:tcPr>
            <w:tcW w:w="1801" w:type="pct"/>
            <w:vAlign w:val="center"/>
          </w:tcPr>
          <w:p w:rsidR="005A3BB2" w:rsidRPr="00AA0A2C" w:rsidRDefault="005A3BB2"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r w:rsidRPr="00AA0A2C">
              <w:rPr>
                <w:rFonts w:asciiTheme="majorHAnsi" w:eastAsia="Times New Roman" w:hAnsiTheme="majorHAnsi" w:cs="Arial"/>
                <w:sz w:val="20"/>
                <w:szCs w:val="20"/>
                <w:lang w:eastAsia="es-ES"/>
              </w:rPr>
              <w:t>Pérdida de capacidad de captura de Carbono.</w:t>
            </w:r>
          </w:p>
        </w:tc>
        <w:tc>
          <w:tcPr>
            <w:tcW w:w="1228" w:type="pct"/>
            <w:vAlign w:val="center"/>
          </w:tcPr>
          <w:p w:rsidR="005A3BB2" w:rsidRPr="00AA0A2C" w:rsidRDefault="005A3BB2"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r w:rsidRPr="00AA0A2C">
              <w:rPr>
                <w:rFonts w:asciiTheme="majorHAnsi" w:eastAsia="Times New Roman" w:hAnsiTheme="majorHAnsi" w:cs="Arial"/>
                <w:sz w:val="20"/>
                <w:szCs w:val="20"/>
                <w:lang w:eastAsia="es-ES"/>
              </w:rPr>
              <w:t>Valor de uso indirecto</w:t>
            </w:r>
          </w:p>
        </w:tc>
      </w:tr>
      <w:tr w:rsidR="00C50768" w:rsidRPr="00AA0A2C" w:rsidTr="007B4700">
        <w:trPr>
          <w:trHeight w:val="20"/>
        </w:trPr>
        <w:tc>
          <w:tcPr>
            <w:cnfStyle w:val="001000000000" w:firstRow="0" w:lastRow="0" w:firstColumn="1" w:lastColumn="0" w:oddVBand="0" w:evenVBand="0" w:oddHBand="0" w:evenHBand="0" w:firstRowFirstColumn="0" w:firstRowLastColumn="0" w:lastRowFirstColumn="0" w:lastRowLastColumn="0"/>
            <w:tcW w:w="508" w:type="pct"/>
            <w:vMerge/>
            <w:tcBorders>
              <w:left w:val="none" w:sz="0" w:space="0" w:color="auto"/>
            </w:tcBorders>
            <w:textDirection w:val="btLr"/>
            <w:vAlign w:val="center"/>
          </w:tcPr>
          <w:p w:rsidR="005A3BB2" w:rsidRPr="00AA0A2C" w:rsidRDefault="005A3BB2" w:rsidP="007B4700">
            <w:pPr>
              <w:widowControl w:val="0"/>
              <w:jc w:val="center"/>
              <w:rPr>
                <w:rFonts w:asciiTheme="majorHAnsi" w:eastAsia="Times New Roman" w:hAnsiTheme="majorHAnsi" w:cs="Arial"/>
                <w:sz w:val="20"/>
                <w:szCs w:val="20"/>
                <w:lang w:eastAsia="es-ES"/>
              </w:rPr>
            </w:pPr>
          </w:p>
        </w:tc>
        <w:tc>
          <w:tcPr>
            <w:tcW w:w="1462" w:type="pct"/>
            <w:vMerge/>
            <w:vAlign w:val="center"/>
          </w:tcPr>
          <w:p w:rsidR="005A3BB2" w:rsidRPr="00AA0A2C" w:rsidRDefault="005A3BB2"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p>
        </w:tc>
        <w:tc>
          <w:tcPr>
            <w:tcW w:w="1801" w:type="pct"/>
            <w:vAlign w:val="center"/>
          </w:tcPr>
          <w:p w:rsidR="005A3BB2" w:rsidRPr="00AA0A2C" w:rsidRDefault="005A3BB2"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r w:rsidRPr="00AA0A2C">
              <w:rPr>
                <w:rFonts w:asciiTheme="majorHAnsi" w:eastAsia="Times New Roman" w:hAnsiTheme="majorHAnsi" w:cs="Arial"/>
                <w:sz w:val="20"/>
                <w:szCs w:val="20"/>
                <w:lang w:eastAsia="es-ES"/>
              </w:rPr>
              <w:t>Productos maderables del bosque. Aprovechamiento forestal.</w:t>
            </w:r>
          </w:p>
        </w:tc>
        <w:tc>
          <w:tcPr>
            <w:tcW w:w="1228" w:type="pct"/>
            <w:vAlign w:val="center"/>
          </w:tcPr>
          <w:p w:rsidR="005A3BB2" w:rsidRPr="00AA0A2C" w:rsidRDefault="005A3BB2"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r w:rsidRPr="00AA0A2C">
              <w:rPr>
                <w:rFonts w:asciiTheme="majorHAnsi" w:eastAsia="Times New Roman" w:hAnsiTheme="majorHAnsi" w:cs="Arial"/>
                <w:sz w:val="20"/>
                <w:szCs w:val="20"/>
                <w:lang w:eastAsia="es-ES"/>
              </w:rPr>
              <w:t>Valor de uso directo</w:t>
            </w:r>
          </w:p>
        </w:tc>
      </w:tr>
      <w:tr w:rsidR="00C50768" w:rsidRPr="00AA0A2C" w:rsidTr="007B4700">
        <w:trPr>
          <w:trHeight w:val="20"/>
        </w:trPr>
        <w:tc>
          <w:tcPr>
            <w:cnfStyle w:val="001000000000" w:firstRow="0" w:lastRow="0" w:firstColumn="1" w:lastColumn="0" w:oddVBand="0" w:evenVBand="0" w:oddHBand="0" w:evenHBand="0" w:firstRowFirstColumn="0" w:firstRowLastColumn="0" w:lastRowFirstColumn="0" w:lastRowLastColumn="0"/>
            <w:tcW w:w="508" w:type="pct"/>
            <w:vMerge w:val="restart"/>
            <w:tcBorders>
              <w:left w:val="none" w:sz="0" w:space="0" w:color="auto"/>
            </w:tcBorders>
            <w:textDirection w:val="btLr"/>
            <w:vAlign w:val="center"/>
          </w:tcPr>
          <w:p w:rsidR="005A3BB2" w:rsidRPr="00AA0A2C" w:rsidRDefault="005A3BB2" w:rsidP="007B4700">
            <w:pPr>
              <w:widowControl w:val="0"/>
              <w:jc w:val="center"/>
              <w:rPr>
                <w:rFonts w:asciiTheme="majorHAnsi" w:eastAsia="Times New Roman" w:hAnsiTheme="majorHAnsi" w:cs="Arial"/>
                <w:sz w:val="20"/>
                <w:szCs w:val="20"/>
                <w:lang w:eastAsia="es-ES"/>
              </w:rPr>
            </w:pPr>
            <w:r w:rsidRPr="00AA0A2C">
              <w:rPr>
                <w:rFonts w:asciiTheme="majorHAnsi" w:eastAsia="Times New Roman" w:hAnsiTheme="majorHAnsi" w:cs="Arial"/>
                <w:b/>
                <w:sz w:val="20"/>
                <w:szCs w:val="20"/>
                <w:lang w:eastAsia="es-ES"/>
              </w:rPr>
              <w:t>Abiótico</w:t>
            </w:r>
          </w:p>
        </w:tc>
        <w:tc>
          <w:tcPr>
            <w:tcW w:w="1462" w:type="pct"/>
            <w:vAlign w:val="center"/>
          </w:tcPr>
          <w:p w:rsidR="005A3BB2" w:rsidRPr="00AA0A2C" w:rsidRDefault="005A3BB2"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r w:rsidRPr="00AA0A2C">
              <w:rPr>
                <w:rFonts w:asciiTheme="majorHAnsi" w:eastAsia="Times New Roman" w:hAnsiTheme="majorHAnsi" w:cs="Arial"/>
                <w:sz w:val="20"/>
                <w:szCs w:val="20"/>
                <w:lang w:eastAsia="es-ES"/>
              </w:rPr>
              <w:t>Cambio del uso del suelo</w:t>
            </w:r>
          </w:p>
        </w:tc>
        <w:tc>
          <w:tcPr>
            <w:tcW w:w="1801" w:type="pct"/>
            <w:vAlign w:val="center"/>
          </w:tcPr>
          <w:p w:rsidR="005A3BB2" w:rsidRPr="00AA0A2C" w:rsidRDefault="005A3BB2"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r w:rsidRPr="00AA0A2C">
              <w:rPr>
                <w:rFonts w:asciiTheme="majorHAnsi" w:eastAsia="Times New Roman" w:hAnsiTheme="majorHAnsi" w:cs="Arial"/>
                <w:sz w:val="20"/>
                <w:szCs w:val="20"/>
                <w:lang w:eastAsia="es-ES"/>
              </w:rPr>
              <w:t>Afectación de la actividad pecuaria</w:t>
            </w:r>
          </w:p>
        </w:tc>
        <w:tc>
          <w:tcPr>
            <w:tcW w:w="1228" w:type="pct"/>
            <w:vAlign w:val="center"/>
          </w:tcPr>
          <w:p w:rsidR="005A3BB2" w:rsidRPr="00AA0A2C" w:rsidRDefault="005A3BB2"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r w:rsidRPr="00AA0A2C">
              <w:rPr>
                <w:rFonts w:asciiTheme="majorHAnsi" w:eastAsia="Times New Roman" w:hAnsiTheme="majorHAnsi" w:cs="Arial"/>
                <w:sz w:val="20"/>
                <w:szCs w:val="20"/>
                <w:lang w:eastAsia="es-ES"/>
              </w:rPr>
              <w:t>Valor de uso directo</w:t>
            </w:r>
          </w:p>
        </w:tc>
      </w:tr>
      <w:tr w:rsidR="00C50768" w:rsidRPr="00AA0A2C" w:rsidTr="007B4700">
        <w:trPr>
          <w:trHeight w:val="20"/>
        </w:trPr>
        <w:tc>
          <w:tcPr>
            <w:cnfStyle w:val="001000000000" w:firstRow="0" w:lastRow="0" w:firstColumn="1" w:lastColumn="0" w:oddVBand="0" w:evenVBand="0" w:oddHBand="0" w:evenHBand="0" w:firstRowFirstColumn="0" w:firstRowLastColumn="0" w:lastRowFirstColumn="0" w:lastRowLastColumn="0"/>
            <w:tcW w:w="508" w:type="pct"/>
            <w:vMerge/>
            <w:tcBorders>
              <w:left w:val="none" w:sz="0" w:space="0" w:color="auto"/>
            </w:tcBorders>
            <w:textDirection w:val="btLr"/>
            <w:vAlign w:val="center"/>
          </w:tcPr>
          <w:p w:rsidR="005A3BB2" w:rsidRPr="00AA0A2C" w:rsidRDefault="005A3BB2" w:rsidP="007B4700">
            <w:pPr>
              <w:widowControl w:val="0"/>
              <w:jc w:val="center"/>
              <w:rPr>
                <w:rFonts w:asciiTheme="majorHAnsi" w:eastAsia="Times New Roman" w:hAnsiTheme="majorHAnsi" w:cs="Arial"/>
                <w:b/>
                <w:sz w:val="20"/>
                <w:szCs w:val="20"/>
                <w:lang w:eastAsia="es-ES"/>
              </w:rPr>
            </w:pPr>
          </w:p>
        </w:tc>
        <w:tc>
          <w:tcPr>
            <w:tcW w:w="1462" w:type="pct"/>
            <w:vAlign w:val="center"/>
          </w:tcPr>
          <w:p w:rsidR="005A3BB2" w:rsidRPr="00AA0A2C" w:rsidRDefault="005A3BB2"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r w:rsidRPr="00AA0A2C">
              <w:rPr>
                <w:rFonts w:asciiTheme="majorHAnsi" w:eastAsia="Times New Roman" w:hAnsiTheme="majorHAnsi" w:cs="Arial"/>
                <w:sz w:val="20"/>
                <w:szCs w:val="20"/>
                <w:lang w:eastAsia="es-ES"/>
              </w:rPr>
              <w:t>Cambios en la disponibilidad del recurso hídrico</w:t>
            </w:r>
          </w:p>
        </w:tc>
        <w:tc>
          <w:tcPr>
            <w:tcW w:w="1801" w:type="pct"/>
            <w:vAlign w:val="center"/>
          </w:tcPr>
          <w:p w:rsidR="005A3BB2" w:rsidRPr="00AA0A2C" w:rsidRDefault="005A3BB2"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r w:rsidRPr="00AA0A2C">
              <w:rPr>
                <w:rFonts w:asciiTheme="majorHAnsi" w:eastAsia="Times New Roman" w:hAnsiTheme="majorHAnsi" w:cs="Arial"/>
                <w:sz w:val="20"/>
                <w:szCs w:val="20"/>
                <w:lang w:eastAsia="es-ES"/>
              </w:rPr>
              <w:t>Demanda de agua</w:t>
            </w:r>
          </w:p>
        </w:tc>
        <w:tc>
          <w:tcPr>
            <w:tcW w:w="1228" w:type="pct"/>
            <w:vAlign w:val="center"/>
          </w:tcPr>
          <w:p w:rsidR="005A3BB2" w:rsidRPr="00AA0A2C" w:rsidRDefault="005A3BB2"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r w:rsidRPr="00AA0A2C">
              <w:rPr>
                <w:rFonts w:asciiTheme="majorHAnsi" w:eastAsia="Times New Roman" w:hAnsiTheme="majorHAnsi" w:cs="Arial"/>
                <w:sz w:val="20"/>
                <w:szCs w:val="20"/>
                <w:lang w:eastAsia="es-ES"/>
              </w:rPr>
              <w:t>Valor de uso directo</w:t>
            </w:r>
          </w:p>
        </w:tc>
      </w:tr>
      <w:tr w:rsidR="00C50768" w:rsidRPr="00AA0A2C" w:rsidTr="007B4700">
        <w:trPr>
          <w:trHeight w:val="20"/>
        </w:trPr>
        <w:tc>
          <w:tcPr>
            <w:cnfStyle w:val="001000000000" w:firstRow="0" w:lastRow="0" w:firstColumn="1" w:lastColumn="0" w:oddVBand="0" w:evenVBand="0" w:oddHBand="0" w:evenHBand="0" w:firstRowFirstColumn="0" w:firstRowLastColumn="0" w:lastRowFirstColumn="0" w:lastRowLastColumn="0"/>
            <w:tcW w:w="508" w:type="pct"/>
            <w:vMerge/>
            <w:tcBorders>
              <w:left w:val="none" w:sz="0" w:space="0" w:color="auto"/>
            </w:tcBorders>
            <w:vAlign w:val="center"/>
          </w:tcPr>
          <w:p w:rsidR="005A3BB2" w:rsidRPr="00AA0A2C" w:rsidRDefault="005A3BB2" w:rsidP="007B4700">
            <w:pPr>
              <w:widowControl w:val="0"/>
              <w:jc w:val="center"/>
              <w:rPr>
                <w:rFonts w:asciiTheme="majorHAnsi" w:eastAsia="Times New Roman" w:hAnsiTheme="majorHAnsi" w:cs="Arial"/>
                <w:sz w:val="20"/>
                <w:szCs w:val="20"/>
                <w:lang w:eastAsia="es-ES"/>
              </w:rPr>
            </w:pPr>
          </w:p>
        </w:tc>
        <w:tc>
          <w:tcPr>
            <w:tcW w:w="1462" w:type="pct"/>
            <w:vAlign w:val="center"/>
          </w:tcPr>
          <w:p w:rsidR="005A3BB2" w:rsidRPr="00AA0A2C" w:rsidRDefault="005A3BB2"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r w:rsidRPr="00AA0A2C">
              <w:rPr>
                <w:rFonts w:asciiTheme="majorHAnsi" w:eastAsia="Times New Roman" w:hAnsiTheme="majorHAnsi" w:cs="Arial"/>
                <w:bCs/>
                <w:sz w:val="20"/>
                <w:szCs w:val="20"/>
                <w:lang w:eastAsia="es-ES"/>
              </w:rPr>
              <w:t xml:space="preserve">Alteración de la calidad del aire </w:t>
            </w:r>
          </w:p>
        </w:tc>
        <w:tc>
          <w:tcPr>
            <w:tcW w:w="1801" w:type="pct"/>
            <w:vAlign w:val="center"/>
          </w:tcPr>
          <w:p w:rsidR="005A3BB2" w:rsidRPr="00AA0A2C" w:rsidRDefault="005A3BB2"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r w:rsidRPr="00AA0A2C">
              <w:rPr>
                <w:rFonts w:asciiTheme="majorHAnsi" w:eastAsia="Times New Roman" w:hAnsiTheme="majorHAnsi" w:cs="Arial"/>
                <w:sz w:val="20"/>
                <w:szCs w:val="20"/>
                <w:lang w:eastAsia="es-ES"/>
              </w:rPr>
              <w:t>Afectación de la salud humana</w:t>
            </w:r>
          </w:p>
        </w:tc>
        <w:tc>
          <w:tcPr>
            <w:tcW w:w="1228" w:type="pct"/>
            <w:vAlign w:val="center"/>
          </w:tcPr>
          <w:p w:rsidR="005A3BB2" w:rsidRPr="00AA0A2C" w:rsidRDefault="005A3BB2"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r w:rsidRPr="00AA0A2C">
              <w:rPr>
                <w:rFonts w:asciiTheme="majorHAnsi" w:eastAsia="Times New Roman" w:hAnsiTheme="majorHAnsi" w:cs="Arial"/>
                <w:sz w:val="20"/>
                <w:szCs w:val="20"/>
                <w:lang w:eastAsia="es-ES"/>
              </w:rPr>
              <w:t>Valor de uso directo</w:t>
            </w:r>
          </w:p>
        </w:tc>
      </w:tr>
      <w:tr w:rsidR="00C50768" w:rsidRPr="00AA0A2C" w:rsidTr="007B4700">
        <w:trPr>
          <w:trHeight w:val="1623"/>
        </w:trPr>
        <w:tc>
          <w:tcPr>
            <w:cnfStyle w:val="001000000000" w:firstRow="0" w:lastRow="0" w:firstColumn="1" w:lastColumn="0" w:oddVBand="0" w:evenVBand="0" w:oddHBand="0" w:evenHBand="0" w:firstRowFirstColumn="0" w:firstRowLastColumn="0" w:lastRowFirstColumn="0" w:lastRowLastColumn="0"/>
            <w:tcW w:w="508" w:type="pct"/>
            <w:tcBorders>
              <w:left w:val="none" w:sz="0" w:space="0" w:color="auto"/>
            </w:tcBorders>
            <w:textDirection w:val="btLr"/>
            <w:vAlign w:val="center"/>
          </w:tcPr>
          <w:p w:rsidR="00C50768" w:rsidRPr="00AA0A2C" w:rsidRDefault="00C50768" w:rsidP="007B4700">
            <w:pPr>
              <w:widowControl w:val="0"/>
              <w:jc w:val="center"/>
              <w:rPr>
                <w:rFonts w:asciiTheme="majorHAnsi" w:eastAsia="Times New Roman" w:hAnsiTheme="majorHAnsi" w:cs="Arial"/>
                <w:b/>
                <w:bCs/>
                <w:sz w:val="20"/>
                <w:szCs w:val="20"/>
                <w:lang w:eastAsia="es-ES"/>
              </w:rPr>
            </w:pPr>
            <w:r w:rsidRPr="00AA0A2C">
              <w:rPr>
                <w:rFonts w:asciiTheme="majorHAnsi" w:eastAsia="Times New Roman" w:hAnsiTheme="majorHAnsi" w:cs="Arial"/>
                <w:b/>
                <w:bCs/>
                <w:sz w:val="20"/>
                <w:szCs w:val="20"/>
                <w:lang w:eastAsia="es-ES"/>
              </w:rPr>
              <w:t>Socioeconómico</w:t>
            </w:r>
          </w:p>
        </w:tc>
        <w:tc>
          <w:tcPr>
            <w:tcW w:w="1462" w:type="pct"/>
            <w:vAlign w:val="center"/>
          </w:tcPr>
          <w:p w:rsidR="00C50768" w:rsidRPr="00AA0A2C" w:rsidRDefault="00C50768"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20"/>
                <w:szCs w:val="20"/>
                <w:lang w:eastAsia="es-ES"/>
              </w:rPr>
            </w:pPr>
            <w:r w:rsidRPr="00AA0A2C">
              <w:rPr>
                <w:rFonts w:asciiTheme="majorHAnsi" w:eastAsia="Times New Roman" w:hAnsiTheme="majorHAnsi" w:cs="Arial"/>
                <w:bCs/>
                <w:sz w:val="20"/>
                <w:szCs w:val="20"/>
                <w:lang w:eastAsia="es-ES"/>
              </w:rPr>
              <w:t>Socioeconómico</w:t>
            </w:r>
          </w:p>
        </w:tc>
        <w:tc>
          <w:tcPr>
            <w:tcW w:w="1801" w:type="pct"/>
            <w:vAlign w:val="center"/>
          </w:tcPr>
          <w:p w:rsidR="00C50768" w:rsidRPr="00AA0A2C" w:rsidRDefault="00C50768"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20"/>
                <w:szCs w:val="20"/>
                <w:lang w:eastAsia="es-ES"/>
              </w:rPr>
            </w:pPr>
            <w:r w:rsidRPr="00AA0A2C">
              <w:rPr>
                <w:rFonts w:asciiTheme="majorHAnsi" w:eastAsia="Times New Roman" w:hAnsiTheme="majorHAnsi" w:cs="Arial"/>
                <w:bCs/>
                <w:sz w:val="20"/>
                <w:szCs w:val="20"/>
                <w:lang w:eastAsia="es-ES"/>
              </w:rPr>
              <w:t xml:space="preserve">Cálculo de la pérdida de ingresos pecuarios </w:t>
            </w:r>
          </w:p>
        </w:tc>
        <w:tc>
          <w:tcPr>
            <w:tcW w:w="1228" w:type="pct"/>
            <w:vAlign w:val="center"/>
          </w:tcPr>
          <w:p w:rsidR="00C50768" w:rsidRPr="00AA0A2C" w:rsidRDefault="00C50768" w:rsidP="007B4700">
            <w:pPr>
              <w:keepNext/>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20"/>
                <w:szCs w:val="20"/>
                <w:lang w:eastAsia="es-ES"/>
              </w:rPr>
            </w:pPr>
            <w:r w:rsidRPr="00AA0A2C">
              <w:rPr>
                <w:rFonts w:asciiTheme="majorHAnsi" w:eastAsia="Times New Roman" w:hAnsiTheme="majorHAnsi" w:cs="Arial"/>
                <w:sz w:val="20"/>
                <w:szCs w:val="20"/>
                <w:lang w:eastAsia="es-ES"/>
              </w:rPr>
              <w:t>Valor de uso directo</w:t>
            </w:r>
          </w:p>
        </w:tc>
      </w:tr>
    </w:tbl>
    <w:p w:rsidR="00C635FA" w:rsidRPr="00AA0A2C" w:rsidRDefault="007B4700" w:rsidP="007B4700">
      <w:pPr>
        <w:pStyle w:val="Notas"/>
      </w:pPr>
      <w:r>
        <w:t xml:space="preserve">Fuente </w:t>
      </w:r>
      <w:r w:rsidR="00C635FA" w:rsidRPr="00AA0A2C">
        <w:t>Fuente: Autopista Río Magdalena S.A.S, 2016</w:t>
      </w:r>
    </w:p>
    <w:p w:rsidR="00C50768" w:rsidRPr="00AA0A2C" w:rsidRDefault="00C50768" w:rsidP="005A3BB2">
      <w:pPr>
        <w:widowControl w:val="0"/>
        <w:rPr>
          <w:rFonts w:asciiTheme="majorHAnsi" w:eastAsia="Times New Roman" w:hAnsiTheme="majorHAnsi" w:cs="Arial"/>
          <w:i/>
          <w:sz w:val="18"/>
          <w:szCs w:val="18"/>
          <w:lang w:eastAsia="es-ES"/>
        </w:rPr>
      </w:pPr>
    </w:p>
    <w:p w:rsidR="005A3BB2" w:rsidRPr="00AA0A2C" w:rsidRDefault="00C635FA" w:rsidP="00C635FA">
      <w:pPr>
        <w:pStyle w:val="Tablas"/>
        <w:rPr>
          <w:rFonts w:asciiTheme="majorHAnsi" w:hAnsiTheme="majorHAnsi"/>
        </w:rPr>
      </w:pPr>
      <w:r w:rsidRPr="00AA0A2C">
        <w:rPr>
          <w:rFonts w:asciiTheme="majorHAnsi" w:hAnsiTheme="majorHAnsi"/>
        </w:rPr>
        <w:t xml:space="preserve">Tabla </w:t>
      </w:r>
      <w:r w:rsidR="006D0D6E">
        <w:rPr>
          <w:rFonts w:asciiTheme="majorHAnsi" w:hAnsiTheme="majorHAnsi"/>
        </w:rPr>
        <w:fldChar w:fldCharType="begin"/>
      </w:r>
      <w:r w:rsidR="006D0D6E">
        <w:rPr>
          <w:rFonts w:asciiTheme="majorHAnsi" w:hAnsiTheme="majorHAnsi"/>
        </w:rPr>
        <w:instrText xml:space="preserve"> STYLEREF 1 \s </w:instrText>
      </w:r>
      <w:r w:rsidR="006D0D6E">
        <w:rPr>
          <w:rFonts w:asciiTheme="majorHAnsi" w:hAnsiTheme="majorHAnsi"/>
        </w:rPr>
        <w:fldChar w:fldCharType="separate"/>
      </w:r>
      <w:r w:rsidR="006D0D6E">
        <w:rPr>
          <w:rFonts w:asciiTheme="majorHAnsi" w:hAnsiTheme="majorHAnsi"/>
          <w:noProof/>
        </w:rPr>
        <w:t>10</w:t>
      </w:r>
      <w:r w:rsidR="006D0D6E">
        <w:rPr>
          <w:rFonts w:asciiTheme="majorHAnsi" w:hAnsiTheme="majorHAnsi"/>
        </w:rPr>
        <w:fldChar w:fldCharType="end"/>
      </w:r>
      <w:r w:rsidR="006D0D6E">
        <w:rPr>
          <w:rFonts w:asciiTheme="majorHAnsi" w:hAnsiTheme="majorHAnsi"/>
        </w:rPr>
        <w:t>.</w:t>
      </w:r>
      <w:r w:rsidR="006D0D6E">
        <w:rPr>
          <w:rFonts w:asciiTheme="majorHAnsi" w:hAnsiTheme="majorHAnsi"/>
        </w:rPr>
        <w:fldChar w:fldCharType="begin"/>
      </w:r>
      <w:r w:rsidR="006D0D6E">
        <w:rPr>
          <w:rFonts w:asciiTheme="majorHAnsi" w:hAnsiTheme="majorHAnsi"/>
        </w:rPr>
        <w:instrText xml:space="preserve"> SEQ Tabla \* ARABIC \s 1 </w:instrText>
      </w:r>
      <w:r w:rsidR="006D0D6E">
        <w:rPr>
          <w:rFonts w:asciiTheme="majorHAnsi" w:hAnsiTheme="majorHAnsi"/>
        </w:rPr>
        <w:fldChar w:fldCharType="separate"/>
      </w:r>
      <w:r w:rsidR="006D0D6E">
        <w:rPr>
          <w:rFonts w:asciiTheme="majorHAnsi" w:hAnsiTheme="majorHAnsi"/>
          <w:noProof/>
        </w:rPr>
        <w:t>4</w:t>
      </w:r>
      <w:r w:rsidR="006D0D6E">
        <w:rPr>
          <w:rFonts w:asciiTheme="majorHAnsi" w:hAnsiTheme="majorHAnsi"/>
        </w:rPr>
        <w:fldChar w:fldCharType="end"/>
      </w:r>
      <w:r w:rsidR="007B4700">
        <w:rPr>
          <w:rFonts w:asciiTheme="majorHAnsi" w:hAnsiTheme="majorHAnsi"/>
        </w:rPr>
        <w:t xml:space="preserve"> Selección de</w:t>
      </w:r>
      <w:r w:rsidRPr="00AA0A2C">
        <w:rPr>
          <w:rFonts w:asciiTheme="majorHAnsi" w:hAnsiTheme="majorHAnsi"/>
        </w:rPr>
        <w:t xml:space="preserve"> los Impactos Positivos o Beneficios Ambientales</w:t>
      </w:r>
    </w:p>
    <w:tbl>
      <w:tblPr>
        <w:tblStyle w:val="Gminis"/>
        <w:tblW w:w="5000" w:type="pct"/>
        <w:tblLook w:val="04A0" w:firstRow="1" w:lastRow="0" w:firstColumn="1" w:lastColumn="0" w:noHBand="0" w:noVBand="1"/>
      </w:tblPr>
      <w:tblGrid>
        <w:gridCol w:w="1166"/>
        <w:gridCol w:w="2373"/>
        <w:gridCol w:w="4722"/>
      </w:tblGrid>
      <w:tr w:rsidR="005A3BB2" w:rsidRPr="00AA0A2C" w:rsidTr="008F3A5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06" w:type="pct"/>
            <w:tcBorders>
              <w:top w:val="none" w:sz="0" w:space="0" w:color="auto"/>
              <w:left w:val="none" w:sz="0" w:space="0" w:color="auto"/>
              <w:bottom w:val="none" w:sz="0" w:space="0" w:color="auto"/>
            </w:tcBorders>
            <w:vAlign w:val="center"/>
          </w:tcPr>
          <w:p w:rsidR="005A3BB2" w:rsidRPr="00AA0A2C" w:rsidRDefault="005A3BB2" w:rsidP="007B4700">
            <w:pPr>
              <w:widowControl w:val="0"/>
              <w:jc w:val="center"/>
              <w:rPr>
                <w:rFonts w:asciiTheme="majorHAnsi" w:eastAsia="Times New Roman" w:hAnsiTheme="majorHAnsi" w:cs="Arial"/>
                <w:b w:val="0"/>
                <w:bCs/>
                <w:sz w:val="20"/>
                <w:szCs w:val="20"/>
                <w:lang w:eastAsia="es-ES"/>
              </w:rPr>
            </w:pPr>
            <w:r w:rsidRPr="00AA0A2C">
              <w:rPr>
                <w:rFonts w:asciiTheme="majorHAnsi" w:eastAsia="Times New Roman" w:hAnsiTheme="majorHAnsi" w:cs="Arial"/>
                <w:bCs/>
                <w:sz w:val="20"/>
                <w:szCs w:val="20"/>
                <w:lang w:eastAsia="es-ES"/>
              </w:rPr>
              <w:t>Medio</w:t>
            </w:r>
          </w:p>
        </w:tc>
        <w:tc>
          <w:tcPr>
            <w:tcW w:w="1436" w:type="pct"/>
            <w:tcBorders>
              <w:bottom w:val="none" w:sz="0" w:space="0" w:color="auto"/>
            </w:tcBorders>
            <w:vAlign w:val="center"/>
          </w:tcPr>
          <w:p w:rsidR="005A3BB2" w:rsidRPr="00AA0A2C" w:rsidRDefault="005A3BB2" w:rsidP="007B4700">
            <w:pPr>
              <w:widowControl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sz w:val="20"/>
                <w:szCs w:val="20"/>
                <w:lang w:eastAsia="es-ES"/>
              </w:rPr>
            </w:pPr>
            <w:r w:rsidRPr="00AA0A2C">
              <w:rPr>
                <w:rFonts w:asciiTheme="majorHAnsi" w:eastAsia="Times New Roman" w:hAnsiTheme="majorHAnsi" w:cs="Arial"/>
                <w:bCs/>
                <w:sz w:val="20"/>
                <w:szCs w:val="20"/>
                <w:lang w:eastAsia="es-ES"/>
              </w:rPr>
              <w:t>Impactos positivos o beneficios ambientales</w:t>
            </w:r>
          </w:p>
        </w:tc>
        <w:tc>
          <w:tcPr>
            <w:tcW w:w="2858" w:type="pct"/>
            <w:tcBorders>
              <w:bottom w:val="none" w:sz="0" w:space="0" w:color="auto"/>
              <w:right w:val="none" w:sz="0" w:space="0" w:color="auto"/>
            </w:tcBorders>
            <w:vAlign w:val="center"/>
          </w:tcPr>
          <w:p w:rsidR="005A3BB2" w:rsidRPr="00AA0A2C" w:rsidRDefault="005A3BB2" w:rsidP="007B4700">
            <w:pPr>
              <w:widowControl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sz w:val="20"/>
                <w:szCs w:val="20"/>
                <w:lang w:eastAsia="es-ES"/>
              </w:rPr>
            </w:pPr>
            <w:r w:rsidRPr="00AA0A2C">
              <w:rPr>
                <w:rFonts w:asciiTheme="majorHAnsi" w:eastAsia="Times New Roman" w:hAnsiTheme="majorHAnsi" w:cs="Arial"/>
                <w:bCs/>
                <w:sz w:val="20"/>
                <w:szCs w:val="20"/>
                <w:lang w:eastAsia="es-ES"/>
              </w:rPr>
              <w:t>Valoración</w:t>
            </w:r>
          </w:p>
        </w:tc>
      </w:tr>
      <w:tr w:rsidR="007B4700" w:rsidRPr="00AA0A2C" w:rsidTr="007B4700">
        <w:trPr>
          <w:trHeight w:val="827"/>
        </w:trPr>
        <w:tc>
          <w:tcPr>
            <w:cnfStyle w:val="001000000000" w:firstRow="0" w:lastRow="0" w:firstColumn="1" w:lastColumn="0" w:oddVBand="0" w:evenVBand="0" w:oddHBand="0" w:evenHBand="0" w:firstRowFirstColumn="0" w:firstRowLastColumn="0" w:lastRowFirstColumn="0" w:lastRowLastColumn="0"/>
            <w:tcW w:w="706" w:type="pct"/>
            <w:vMerge w:val="restart"/>
            <w:textDirection w:val="btLr"/>
            <w:vAlign w:val="center"/>
          </w:tcPr>
          <w:p w:rsidR="007B4700" w:rsidRPr="00AA0A2C" w:rsidRDefault="007B4700" w:rsidP="007B4700">
            <w:pPr>
              <w:widowControl w:val="0"/>
              <w:jc w:val="center"/>
              <w:rPr>
                <w:rFonts w:asciiTheme="majorHAnsi" w:eastAsia="Times New Roman" w:hAnsiTheme="majorHAnsi" w:cs="Arial"/>
                <w:b/>
                <w:sz w:val="20"/>
                <w:szCs w:val="20"/>
                <w:lang w:eastAsia="es-ES"/>
              </w:rPr>
            </w:pPr>
            <w:r w:rsidRPr="00AA0A2C">
              <w:rPr>
                <w:rFonts w:asciiTheme="majorHAnsi" w:eastAsia="Times New Roman" w:hAnsiTheme="majorHAnsi" w:cs="Arial"/>
                <w:b/>
                <w:sz w:val="20"/>
                <w:szCs w:val="20"/>
                <w:lang w:eastAsia="es-ES"/>
              </w:rPr>
              <w:t>Biótico</w:t>
            </w:r>
          </w:p>
        </w:tc>
        <w:tc>
          <w:tcPr>
            <w:tcW w:w="1436" w:type="pct"/>
            <w:vAlign w:val="center"/>
          </w:tcPr>
          <w:p w:rsidR="007B4700" w:rsidRPr="00AA0A2C" w:rsidRDefault="007B4700"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r w:rsidRPr="00AA0A2C">
              <w:rPr>
                <w:rFonts w:asciiTheme="majorHAnsi" w:eastAsia="Times New Roman" w:hAnsiTheme="majorHAnsi" w:cs="Arial"/>
                <w:sz w:val="20"/>
                <w:szCs w:val="20"/>
                <w:lang w:eastAsia="es-ES"/>
              </w:rPr>
              <w:t xml:space="preserve">Plan de Compensación Forestal </w:t>
            </w:r>
          </w:p>
        </w:tc>
        <w:tc>
          <w:tcPr>
            <w:tcW w:w="2858" w:type="pct"/>
            <w:vMerge w:val="restart"/>
            <w:vAlign w:val="center"/>
          </w:tcPr>
          <w:p w:rsidR="007B4700" w:rsidRPr="00AA0A2C" w:rsidRDefault="007B4700"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r w:rsidRPr="00AA0A2C">
              <w:rPr>
                <w:rFonts w:asciiTheme="majorHAnsi" w:eastAsia="Times New Roman" w:hAnsiTheme="majorHAnsi" w:cs="Arial"/>
                <w:sz w:val="20"/>
                <w:szCs w:val="20"/>
                <w:lang w:eastAsia="es-ES"/>
              </w:rPr>
              <w:t>Beneficios por compensación forestal, que comprende: Recuperación del régimen de escorrentía; Recuperación del régimen de retención de sedimentos; Recuperación de la capacidad de captura de CO2 y Beneficios por evitar aprovechamiento forestal.</w:t>
            </w:r>
          </w:p>
        </w:tc>
      </w:tr>
      <w:tr w:rsidR="007B4700" w:rsidRPr="00AA0A2C" w:rsidTr="007B4700">
        <w:trPr>
          <w:trHeight w:val="827"/>
        </w:trPr>
        <w:tc>
          <w:tcPr>
            <w:cnfStyle w:val="001000000000" w:firstRow="0" w:lastRow="0" w:firstColumn="1" w:lastColumn="0" w:oddVBand="0" w:evenVBand="0" w:oddHBand="0" w:evenHBand="0" w:firstRowFirstColumn="0" w:firstRowLastColumn="0" w:lastRowFirstColumn="0" w:lastRowLastColumn="0"/>
            <w:tcW w:w="706" w:type="pct"/>
            <w:vMerge/>
            <w:textDirection w:val="btLr"/>
            <w:vAlign w:val="center"/>
          </w:tcPr>
          <w:p w:rsidR="007B4700" w:rsidRPr="00AA0A2C" w:rsidRDefault="007B4700" w:rsidP="007B4700">
            <w:pPr>
              <w:widowControl w:val="0"/>
              <w:jc w:val="center"/>
              <w:rPr>
                <w:rFonts w:asciiTheme="majorHAnsi" w:eastAsia="Times New Roman" w:hAnsiTheme="majorHAnsi" w:cs="Arial"/>
                <w:b/>
                <w:sz w:val="20"/>
                <w:szCs w:val="20"/>
                <w:lang w:eastAsia="es-ES"/>
              </w:rPr>
            </w:pPr>
          </w:p>
        </w:tc>
        <w:tc>
          <w:tcPr>
            <w:tcW w:w="1436" w:type="pct"/>
            <w:vAlign w:val="center"/>
          </w:tcPr>
          <w:p w:rsidR="007B4700" w:rsidRPr="00AA0A2C" w:rsidRDefault="007B4700"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r w:rsidRPr="00AA0A2C">
              <w:rPr>
                <w:rFonts w:asciiTheme="majorHAnsi" w:eastAsia="Times New Roman" w:hAnsiTheme="majorHAnsi" w:cs="Arial"/>
                <w:sz w:val="20"/>
                <w:szCs w:val="20"/>
                <w:lang w:eastAsia="es-ES"/>
              </w:rPr>
              <w:t>Compensación por Pérdida de Biodiversidad</w:t>
            </w:r>
          </w:p>
        </w:tc>
        <w:tc>
          <w:tcPr>
            <w:tcW w:w="2858" w:type="pct"/>
            <w:vMerge/>
            <w:vAlign w:val="center"/>
          </w:tcPr>
          <w:p w:rsidR="007B4700" w:rsidRPr="00AA0A2C" w:rsidRDefault="007B4700" w:rsidP="007B4700">
            <w:pPr>
              <w:widowControl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ES"/>
              </w:rPr>
            </w:pPr>
          </w:p>
        </w:tc>
      </w:tr>
      <w:tr w:rsidR="005A3BB2" w:rsidRPr="00AA0A2C" w:rsidTr="007B4700">
        <w:trPr>
          <w:trHeight w:val="900"/>
        </w:trPr>
        <w:tc>
          <w:tcPr>
            <w:cnfStyle w:val="001000000000" w:firstRow="0" w:lastRow="0" w:firstColumn="1" w:lastColumn="0" w:oddVBand="0" w:evenVBand="0" w:oddHBand="0" w:evenHBand="0" w:firstRowFirstColumn="0" w:firstRowLastColumn="0" w:lastRowFirstColumn="0" w:lastRowLastColumn="0"/>
            <w:tcW w:w="706" w:type="pct"/>
            <w:tcBorders>
              <w:left w:val="none" w:sz="0" w:space="0" w:color="auto"/>
            </w:tcBorders>
            <w:textDirection w:val="btLr"/>
            <w:vAlign w:val="center"/>
          </w:tcPr>
          <w:p w:rsidR="005A3BB2" w:rsidRPr="00AA0A2C" w:rsidRDefault="005A3BB2" w:rsidP="007B4700">
            <w:pPr>
              <w:widowControl w:val="0"/>
              <w:jc w:val="center"/>
              <w:rPr>
                <w:rFonts w:asciiTheme="majorHAnsi" w:eastAsia="Times New Roman" w:hAnsiTheme="majorHAnsi" w:cs="Arial"/>
                <w:b/>
                <w:sz w:val="20"/>
                <w:szCs w:val="20"/>
                <w:lang w:eastAsia="es-ES"/>
              </w:rPr>
            </w:pPr>
            <w:r w:rsidRPr="00AA0A2C">
              <w:rPr>
                <w:rFonts w:asciiTheme="majorHAnsi" w:eastAsia="Times New Roman" w:hAnsiTheme="majorHAnsi" w:cs="Arial"/>
                <w:b/>
                <w:sz w:val="20"/>
                <w:szCs w:val="20"/>
                <w:lang w:eastAsia="es-ES"/>
              </w:rPr>
              <w:t>Socioeconómico</w:t>
            </w:r>
          </w:p>
        </w:tc>
        <w:tc>
          <w:tcPr>
            <w:tcW w:w="1436" w:type="pct"/>
            <w:vAlign w:val="center"/>
          </w:tcPr>
          <w:p w:rsidR="005A3BB2" w:rsidRPr="00AA0A2C" w:rsidRDefault="005A3BB2" w:rsidP="007B470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AA0A2C">
              <w:rPr>
                <w:rFonts w:asciiTheme="majorHAnsi" w:eastAsia="Times New Roman" w:hAnsiTheme="majorHAnsi" w:cs="Arial"/>
                <w:color w:val="000000"/>
                <w:sz w:val="20"/>
                <w:szCs w:val="20"/>
                <w:lang w:eastAsia="es-CO"/>
              </w:rPr>
              <w:t>Inversión del 1%</w:t>
            </w:r>
          </w:p>
        </w:tc>
        <w:tc>
          <w:tcPr>
            <w:tcW w:w="2858" w:type="pct"/>
            <w:vAlign w:val="center"/>
          </w:tcPr>
          <w:p w:rsidR="005A3BB2" w:rsidRPr="00AA0A2C" w:rsidRDefault="005A3BB2" w:rsidP="007B470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AA0A2C">
              <w:rPr>
                <w:rFonts w:asciiTheme="majorHAnsi" w:eastAsia="Times New Roman" w:hAnsiTheme="majorHAnsi" w:cs="Arial"/>
                <w:color w:val="000000"/>
                <w:sz w:val="20"/>
                <w:szCs w:val="20"/>
                <w:lang w:eastAsia="es-CO"/>
              </w:rPr>
              <w:t>Cálculo del 1% sobre el valor del proyecto destinado a los ítems señalados en el Decreto 1900 de 2006.</w:t>
            </w:r>
          </w:p>
        </w:tc>
      </w:tr>
    </w:tbl>
    <w:p w:rsidR="00C635FA" w:rsidRPr="00AA0A2C" w:rsidRDefault="007B4700" w:rsidP="007B4700">
      <w:pPr>
        <w:pStyle w:val="Notas"/>
      </w:pPr>
      <w:r>
        <w:t>Fuente:</w:t>
      </w:r>
      <w:r w:rsidR="00C635FA" w:rsidRPr="00AA0A2C">
        <w:t xml:space="preserve"> Autopista Río Magdalena S.A.S, 2016</w:t>
      </w:r>
    </w:p>
    <w:p w:rsidR="005A3BB2" w:rsidRPr="00AA0A2C" w:rsidRDefault="005A3BB2" w:rsidP="005A3BB2">
      <w:pPr>
        <w:rPr>
          <w:rFonts w:asciiTheme="majorHAnsi" w:hAnsiTheme="majorHAnsi"/>
        </w:rPr>
      </w:pPr>
    </w:p>
    <w:p w:rsidR="00C635FA" w:rsidRPr="00AA0A2C" w:rsidRDefault="00C635FA" w:rsidP="003438BD">
      <w:pPr>
        <w:pStyle w:val="Ttulo2"/>
        <w:rPr>
          <w:rFonts w:asciiTheme="majorHAnsi" w:hAnsiTheme="majorHAnsi"/>
        </w:rPr>
      </w:pPr>
      <w:bookmarkStart w:id="61" w:name="_Toc381338340"/>
      <w:bookmarkStart w:id="62" w:name="_Toc445192932"/>
      <w:r w:rsidRPr="00AA0A2C">
        <w:rPr>
          <w:rFonts w:asciiTheme="majorHAnsi" w:hAnsiTheme="majorHAnsi"/>
        </w:rPr>
        <w:t>VALORACIÓN ECONÓMICA DE LOS IMPACTOS AMBIENTALES DEL PROYECTO</w:t>
      </w:r>
      <w:bookmarkEnd w:id="61"/>
      <w:bookmarkEnd w:id="62"/>
    </w:p>
    <w:p w:rsidR="00C635FA" w:rsidRPr="00AA0A2C" w:rsidRDefault="00C635FA" w:rsidP="00C635FA">
      <w:pPr>
        <w:rPr>
          <w:rFonts w:asciiTheme="majorHAnsi" w:hAnsiTheme="majorHAnsi"/>
          <w:b/>
          <w:lang w:eastAsia="es-ES"/>
        </w:rPr>
      </w:pPr>
    </w:p>
    <w:p w:rsidR="00C635FA" w:rsidRPr="00AA0A2C" w:rsidRDefault="00C635FA" w:rsidP="003438BD">
      <w:pPr>
        <w:pStyle w:val="Ttulo3"/>
        <w:rPr>
          <w:rFonts w:asciiTheme="majorHAnsi" w:hAnsiTheme="majorHAnsi"/>
          <w:b w:val="0"/>
        </w:rPr>
      </w:pPr>
      <w:bookmarkStart w:id="63" w:name="_Toc286404719"/>
      <w:bookmarkStart w:id="64" w:name="_Toc302429245"/>
      <w:bookmarkStart w:id="65" w:name="_Toc367786925"/>
      <w:bookmarkStart w:id="66" w:name="_Toc381338341"/>
      <w:bookmarkStart w:id="67" w:name="_Toc445192933"/>
      <w:r w:rsidRPr="00AA0A2C">
        <w:rPr>
          <w:rFonts w:asciiTheme="majorHAnsi" w:hAnsiTheme="majorHAnsi"/>
        </w:rPr>
        <w:t>Objetivos</w:t>
      </w:r>
      <w:bookmarkEnd w:id="63"/>
      <w:bookmarkEnd w:id="64"/>
      <w:bookmarkEnd w:id="65"/>
      <w:bookmarkEnd w:id="66"/>
      <w:bookmarkEnd w:id="67"/>
    </w:p>
    <w:p w:rsidR="00C635FA" w:rsidRPr="00AA0A2C" w:rsidRDefault="00C635FA" w:rsidP="00C635FA">
      <w:pPr>
        <w:rPr>
          <w:rFonts w:asciiTheme="majorHAnsi" w:hAnsiTheme="majorHAnsi"/>
          <w:lang w:eastAsia="es-ES"/>
        </w:rPr>
      </w:pPr>
    </w:p>
    <w:p w:rsidR="00C635FA" w:rsidRPr="00AA0A2C" w:rsidRDefault="00C635FA" w:rsidP="003438BD">
      <w:pPr>
        <w:pStyle w:val="Ttulo4"/>
        <w:rPr>
          <w:rFonts w:asciiTheme="majorHAnsi" w:hAnsiTheme="majorHAnsi"/>
          <w:lang w:eastAsia="es-CO"/>
        </w:rPr>
      </w:pPr>
      <w:bookmarkStart w:id="68" w:name="_Toc286404720"/>
      <w:bookmarkStart w:id="69" w:name="_Toc302429246"/>
      <w:bookmarkStart w:id="70" w:name="_Toc367786926"/>
      <w:bookmarkStart w:id="71" w:name="_Toc381338342"/>
      <w:bookmarkStart w:id="72" w:name="_Toc445192934"/>
      <w:r w:rsidRPr="00AA0A2C">
        <w:rPr>
          <w:rFonts w:asciiTheme="majorHAnsi" w:hAnsiTheme="majorHAnsi"/>
          <w:lang w:eastAsia="es-CO"/>
        </w:rPr>
        <w:t>Objetivo general</w:t>
      </w:r>
      <w:bookmarkEnd w:id="68"/>
      <w:bookmarkEnd w:id="69"/>
      <w:bookmarkEnd w:id="70"/>
      <w:bookmarkEnd w:id="71"/>
      <w:bookmarkEnd w:id="72"/>
    </w:p>
    <w:p w:rsidR="00C635FA" w:rsidRPr="00AA0A2C" w:rsidRDefault="00C635FA" w:rsidP="00C635FA">
      <w:pPr>
        <w:rPr>
          <w:rFonts w:asciiTheme="majorHAnsi" w:hAnsiTheme="majorHAnsi" w:cs="Arial"/>
          <w:lang w:eastAsia="es-ES"/>
        </w:rPr>
      </w:pPr>
    </w:p>
    <w:p w:rsidR="00C635FA" w:rsidRPr="00AA0A2C" w:rsidRDefault="00C635FA" w:rsidP="00C635FA">
      <w:pPr>
        <w:rPr>
          <w:rFonts w:asciiTheme="majorHAnsi" w:hAnsiTheme="majorHAnsi" w:cs="Arial"/>
          <w:lang w:eastAsia="es-ES"/>
        </w:rPr>
      </w:pPr>
      <w:r w:rsidRPr="00AA0A2C">
        <w:rPr>
          <w:rFonts w:asciiTheme="majorHAnsi" w:hAnsiTheme="majorHAnsi" w:cs="Arial"/>
          <w:lang w:eastAsia="es-ES"/>
        </w:rPr>
        <w:t xml:space="preserve">Realizar la valoración económica de los impactos ambientales que genere el Proyecto </w:t>
      </w:r>
      <w:r w:rsidR="003438BD" w:rsidRPr="00AA0A2C">
        <w:rPr>
          <w:rFonts w:asciiTheme="majorHAnsi" w:hAnsiTheme="majorHAnsi"/>
        </w:rPr>
        <w:t>Construcción de la Variante Puerto Berrío en los Departamentos de Antioquia y Santander</w:t>
      </w:r>
      <w:r w:rsidRPr="00AA0A2C">
        <w:rPr>
          <w:rFonts w:asciiTheme="majorHAnsi" w:hAnsiTheme="majorHAnsi" w:cs="Arial"/>
        </w:rPr>
        <w:t xml:space="preserve">, </w:t>
      </w:r>
      <w:r w:rsidRPr="00AA0A2C">
        <w:rPr>
          <w:rFonts w:asciiTheme="majorHAnsi" w:hAnsiTheme="majorHAnsi" w:cs="Arial"/>
          <w:lang w:eastAsia="es-ES"/>
        </w:rPr>
        <w:t xml:space="preserve">sobre los componentes </w:t>
      </w:r>
      <w:r w:rsidR="003438BD" w:rsidRPr="00AA0A2C">
        <w:rPr>
          <w:rFonts w:asciiTheme="majorHAnsi" w:hAnsiTheme="majorHAnsi" w:cs="Arial"/>
          <w:lang w:eastAsia="es-ES"/>
        </w:rPr>
        <w:t>abiótico</w:t>
      </w:r>
      <w:r w:rsidRPr="00AA0A2C">
        <w:rPr>
          <w:rFonts w:asciiTheme="majorHAnsi" w:hAnsiTheme="majorHAnsi" w:cs="Arial"/>
          <w:lang w:eastAsia="es-ES"/>
        </w:rPr>
        <w:t>, biótico y socioeconómico en sus diferentes fases.</w:t>
      </w:r>
    </w:p>
    <w:p w:rsidR="00C635FA" w:rsidRPr="00AA0A2C" w:rsidRDefault="00C635FA" w:rsidP="00C635FA">
      <w:pPr>
        <w:rPr>
          <w:rFonts w:asciiTheme="majorHAnsi" w:eastAsia="Times New Roman" w:hAnsiTheme="majorHAnsi" w:cs="Arial"/>
          <w:b/>
          <w:bCs/>
          <w:lang w:eastAsia="es-ES"/>
        </w:rPr>
      </w:pPr>
      <w:bookmarkStart w:id="73" w:name="_Toc279088937"/>
      <w:bookmarkStart w:id="74" w:name="_Toc283394435"/>
    </w:p>
    <w:p w:rsidR="00C635FA" w:rsidRPr="00AA0A2C" w:rsidRDefault="00C635FA" w:rsidP="003438BD">
      <w:pPr>
        <w:pStyle w:val="Ttulo4"/>
        <w:rPr>
          <w:rFonts w:asciiTheme="majorHAnsi" w:hAnsiTheme="majorHAnsi"/>
          <w:lang w:val="es-ES_tradnl" w:eastAsia="es-ES"/>
        </w:rPr>
      </w:pPr>
      <w:r w:rsidRPr="00AA0A2C">
        <w:rPr>
          <w:rFonts w:asciiTheme="majorHAnsi" w:hAnsiTheme="majorHAnsi"/>
          <w:lang w:val="es-ES_tradnl" w:eastAsia="es-ES"/>
        </w:rPr>
        <w:t>Objetivos específicos</w:t>
      </w:r>
      <w:bookmarkEnd w:id="73"/>
      <w:bookmarkEnd w:id="74"/>
    </w:p>
    <w:p w:rsidR="00C635FA" w:rsidRPr="00AA0A2C" w:rsidRDefault="00C635FA" w:rsidP="00C635FA">
      <w:pPr>
        <w:rPr>
          <w:rFonts w:asciiTheme="majorHAnsi" w:eastAsia="Times New Roman" w:hAnsiTheme="majorHAnsi" w:cs="Arial"/>
          <w:b/>
          <w:bCs/>
          <w:lang w:val="es-ES_tradnl" w:eastAsia="es-ES"/>
        </w:rPr>
      </w:pPr>
    </w:p>
    <w:p w:rsidR="00C635FA" w:rsidRPr="00AA0A2C" w:rsidRDefault="00C635FA" w:rsidP="00CD7283">
      <w:pPr>
        <w:pStyle w:val="Prrafodelista"/>
        <w:numPr>
          <w:ilvl w:val="0"/>
          <w:numId w:val="18"/>
        </w:numPr>
        <w:spacing w:line="240" w:lineRule="auto"/>
        <w:ind w:left="426"/>
        <w:rPr>
          <w:rFonts w:asciiTheme="majorHAnsi" w:hAnsiTheme="majorHAnsi" w:cs="Arial"/>
          <w:lang w:eastAsia="es-ES"/>
        </w:rPr>
      </w:pPr>
      <w:r w:rsidRPr="00AA0A2C">
        <w:rPr>
          <w:rFonts w:asciiTheme="majorHAnsi" w:hAnsiTheme="majorHAnsi" w:cs="Arial"/>
          <w:lang w:eastAsia="es-ES"/>
        </w:rPr>
        <w:t xml:space="preserve">Realizar la valoración económica de los impactos ambientales con base en la matriz de impactos ambientales y el Plan de Manejo Ambiental para mitigar, </w:t>
      </w:r>
      <w:r w:rsidR="003438BD" w:rsidRPr="00AA0A2C">
        <w:rPr>
          <w:rFonts w:asciiTheme="majorHAnsi" w:hAnsiTheme="majorHAnsi" w:cs="Arial"/>
          <w:lang w:eastAsia="es-ES"/>
        </w:rPr>
        <w:t>prevenir, y</w:t>
      </w:r>
      <w:r w:rsidRPr="00AA0A2C">
        <w:rPr>
          <w:rFonts w:asciiTheme="majorHAnsi" w:hAnsiTheme="majorHAnsi" w:cs="Arial"/>
          <w:lang w:eastAsia="es-ES"/>
        </w:rPr>
        <w:t xml:space="preserve"> compensar los impactos directos del proyecto.</w:t>
      </w:r>
    </w:p>
    <w:p w:rsidR="00C635FA" w:rsidRPr="00AA0A2C" w:rsidRDefault="00C635FA" w:rsidP="00CD7283">
      <w:pPr>
        <w:pStyle w:val="Prrafodelista"/>
        <w:numPr>
          <w:ilvl w:val="0"/>
          <w:numId w:val="18"/>
        </w:numPr>
        <w:spacing w:line="240" w:lineRule="auto"/>
        <w:ind w:left="426"/>
        <w:rPr>
          <w:rFonts w:asciiTheme="majorHAnsi" w:hAnsiTheme="majorHAnsi" w:cs="Arial"/>
          <w:lang w:eastAsia="es-ES"/>
        </w:rPr>
      </w:pPr>
      <w:r w:rsidRPr="00AA0A2C">
        <w:rPr>
          <w:rFonts w:asciiTheme="majorHAnsi" w:hAnsiTheme="majorHAnsi" w:cs="Arial"/>
          <w:lang w:eastAsia="es-ES"/>
        </w:rPr>
        <w:t xml:space="preserve">Valorar económicamente los impactos ambientales externos o externalidades del proyecto sobre los recursos naturales y la población. </w:t>
      </w:r>
    </w:p>
    <w:p w:rsidR="00C635FA" w:rsidRPr="00AA0A2C" w:rsidRDefault="00C635FA" w:rsidP="00CD7283">
      <w:pPr>
        <w:pStyle w:val="Prrafodelista"/>
        <w:numPr>
          <w:ilvl w:val="0"/>
          <w:numId w:val="18"/>
        </w:numPr>
        <w:spacing w:line="240" w:lineRule="auto"/>
        <w:ind w:left="426"/>
        <w:rPr>
          <w:rFonts w:asciiTheme="majorHAnsi" w:hAnsiTheme="majorHAnsi" w:cs="Arial"/>
          <w:lang w:eastAsia="es-ES"/>
        </w:rPr>
      </w:pPr>
      <w:r w:rsidRPr="00AA0A2C">
        <w:rPr>
          <w:rFonts w:asciiTheme="majorHAnsi" w:hAnsiTheme="majorHAnsi" w:cs="Arial"/>
          <w:lang w:eastAsia="es-ES"/>
        </w:rPr>
        <w:t>Realizar el Análisis Costo Beneficio Ambiental del Proyecto y la interpretación de los indicadores de rentabilidad resultantes</w:t>
      </w:r>
    </w:p>
    <w:p w:rsidR="00C635FA" w:rsidRPr="00AA0A2C" w:rsidRDefault="00C635FA" w:rsidP="00C635FA">
      <w:pPr>
        <w:pStyle w:val="Prrafodelista"/>
        <w:ind w:left="426"/>
        <w:rPr>
          <w:rFonts w:asciiTheme="majorHAnsi" w:hAnsiTheme="majorHAnsi" w:cs="Arial"/>
          <w:lang w:eastAsia="es-ES"/>
        </w:rPr>
      </w:pPr>
    </w:p>
    <w:p w:rsidR="008F3A5D" w:rsidRDefault="008F3A5D">
      <w:pPr>
        <w:spacing w:line="240" w:lineRule="auto"/>
        <w:contextualSpacing w:val="0"/>
        <w:jc w:val="left"/>
        <w:rPr>
          <w:rFonts w:asciiTheme="majorHAnsi" w:eastAsia="Times New Roman" w:hAnsiTheme="majorHAnsi"/>
          <w:b/>
          <w:bCs/>
          <w:kern w:val="32"/>
          <w:szCs w:val="32"/>
        </w:rPr>
      </w:pPr>
      <w:bookmarkStart w:id="75" w:name="_Toc286404721"/>
      <w:bookmarkStart w:id="76" w:name="_Toc302429247"/>
      <w:bookmarkStart w:id="77" w:name="_Toc367786927"/>
      <w:bookmarkStart w:id="78" w:name="_Toc381338343"/>
      <w:bookmarkStart w:id="79" w:name="_Toc445192935"/>
      <w:r>
        <w:rPr>
          <w:rFonts w:asciiTheme="majorHAnsi" w:hAnsiTheme="majorHAnsi"/>
        </w:rPr>
        <w:br w:type="page"/>
      </w:r>
    </w:p>
    <w:p w:rsidR="00C635FA" w:rsidRPr="00AA0A2C" w:rsidRDefault="00C635FA" w:rsidP="003B00D6">
      <w:pPr>
        <w:pStyle w:val="Ttulo3"/>
        <w:rPr>
          <w:rFonts w:asciiTheme="majorHAnsi" w:hAnsiTheme="majorHAnsi"/>
        </w:rPr>
      </w:pPr>
      <w:r w:rsidRPr="00AA0A2C">
        <w:rPr>
          <w:rFonts w:asciiTheme="majorHAnsi" w:hAnsiTheme="majorHAnsi"/>
        </w:rPr>
        <w:t>Alcance de la valoración</w:t>
      </w:r>
      <w:bookmarkEnd w:id="75"/>
      <w:bookmarkEnd w:id="76"/>
      <w:bookmarkEnd w:id="77"/>
      <w:bookmarkEnd w:id="78"/>
      <w:bookmarkEnd w:id="79"/>
    </w:p>
    <w:p w:rsidR="00C635FA" w:rsidRPr="00AA0A2C" w:rsidRDefault="00C635FA" w:rsidP="00C635FA">
      <w:pPr>
        <w:tabs>
          <w:tab w:val="left" w:pos="-720"/>
        </w:tabs>
        <w:suppressAutoHyphens/>
        <w:rPr>
          <w:rFonts w:asciiTheme="majorHAnsi" w:eastAsia="Times New Roman" w:hAnsiTheme="majorHAnsi" w:cs="Arial"/>
          <w:lang w:eastAsia="es-MX"/>
        </w:rPr>
      </w:pPr>
    </w:p>
    <w:p w:rsidR="00C635FA" w:rsidRPr="00AA0A2C" w:rsidRDefault="00C635FA" w:rsidP="00C635FA">
      <w:pPr>
        <w:tabs>
          <w:tab w:val="left" w:pos="-720"/>
        </w:tabs>
        <w:suppressAutoHyphens/>
        <w:rPr>
          <w:rFonts w:asciiTheme="majorHAnsi" w:eastAsia="Times New Roman" w:hAnsiTheme="majorHAnsi" w:cs="Arial"/>
          <w:lang w:eastAsia="es-MX"/>
        </w:rPr>
      </w:pPr>
      <w:r w:rsidRPr="00AA0A2C">
        <w:rPr>
          <w:rFonts w:asciiTheme="majorHAnsi" w:eastAsia="Times New Roman" w:hAnsiTheme="majorHAnsi" w:cs="Arial"/>
          <w:lang w:eastAsia="es-MX"/>
        </w:rPr>
        <w:t xml:space="preserve">La valoración económica de los impactos ambientales dará cumplimiento a: (i) los requerimientos establecidos en los términos de referencia </w:t>
      </w:r>
      <w:r w:rsidR="003B00D6" w:rsidRPr="00AA0A2C">
        <w:rPr>
          <w:rFonts w:asciiTheme="majorHAnsi" w:hAnsiTheme="majorHAnsi"/>
        </w:rPr>
        <w:t>M-M-INA-02 Versión No 2</w:t>
      </w:r>
      <w:r w:rsidRPr="00AA0A2C">
        <w:rPr>
          <w:rFonts w:asciiTheme="majorHAnsi" w:eastAsia="Times New Roman" w:hAnsiTheme="majorHAnsi" w:cs="Arial"/>
          <w:lang w:eastAsia="es-MX"/>
        </w:rPr>
        <w:t>, para la elaboración del Estudio de Impacto Ambiental a proyectos de construcción de carreteras, (ii) la Metodología General para la Presentación de los Estudios ambientales desarrolla el tema de la evaluación económica del proceso de Evaluación del Impacto Ambiental, y (iii) El Manual Técnico de Evaluación Económica de Impactos Ambientales en Proyectos Sujetos a Licenciamiento Ambiental. (CEDE – UNIANDES - MAVDT 2010).</w:t>
      </w:r>
      <w:r w:rsidRPr="00AA0A2C">
        <w:rPr>
          <w:rFonts w:asciiTheme="majorHAnsi" w:hAnsiTheme="majorHAnsi" w:cs="Arial"/>
        </w:rPr>
        <w:t xml:space="preserve"> </w:t>
      </w:r>
    </w:p>
    <w:p w:rsidR="00C635FA" w:rsidRPr="00AA0A2C" w:rsidRDefault="00C635FA" w:rsidP="00C635FA">
      <w:pPr>
        <w:rPr>
          <w:rFonts w:asciiTheme="majorHAnsi" w:hAnsiTheme="majorHAnsi" w:cs="Arial"/>
        </w:rPr>
      </w:pPr>
    </w:p>
    <w:p w:rsidR="00C635FA" w:rsidRPr="00AA0A2C" w:rsidRDefault="00C635FA" w:rsidP="00C635FA">
      <w:pPr>
        <w:rPr>
          <w:rFonts w:asciiTheme="majorHAnsi" w:eastAsia="Times New Roman" w:hAnsiTheme="majorHAnsi" w:cs="Arial"/>
          <w:bCs/>
          <w:color w:val="000000"/>
          <w:lang w:eastAsia="es-CO"/>
        </w:rPr>
      </w:pPr>
      <w:r w:rsidRPr="00AA0A2C">
        <w:rPr>
          <w:rFonts w:asciiTheme="majorHAnsi" w:eastAsia="Times New Roman" w:hAnsiTheme="majorHAnsi" w:cs="Arial"/>
          <w:bCs/>
          <w:color w:val="000000"/>
          <w:lang w:eastAsia="es-CO"/>
        </w:rPr>
        <w:t xml:space="preserve">Para la valoración económica de los impactos ambientales se tendrán en cuenta no solo la afectación directa sobre los recursos naturales sino también la incidencia sobre las funciones ecosistémicas y productividad de los </w:t>
      </w:r>
      <w:r w:rsidR="003B00D6" w:rsidRPr="00AA0A2C">
        <w:rPr>
          <w:rFonts w:asciiTheme="majorHAnsi" w:eastAsia="Times New Roman" w:hAnsiTheme="majorHAnsi" w:cs="Arial"/>
          <w:bCs/>
          <w:color w:val="000000"/>
          <w:lang w:eastAsia="es-CO"/>
        </w:rPr>
        <w:t>mismos y</w:t>
      </w:r>
      <w:r w:rsidRPr="00AA0A2C">
        <w:rPr>
          <w:rFonts w:asciiTheme="majorHAnsi" w:eastAsia="Times New Roman" w:hAnsiTheme="majorHAnsi" w:cs="Arial"/>
          <w:bCs/>
          <w:color w:val="000000"/>
          <w:lang w:eastAsia="es-CO"/>
        </w:rPr>
        <w:t xml:space="preserve"> los usos actuales de los recursos naturales por otras actividades económicas.  </w:t>
      </w:r>
    </w:p>
    <w:p w:rsidR="00C635FA" w:rsidRPr="00AA0A2C" w:rsidRDefault="00C635FA" w:rsidP="00C635FA">
      <w:pPr>
        <w:rPr>
          <w:rFonts w:asciiTheme="majorHAnsi" w:eastAsia="Times New Roman" w:hAnsiTheme="majorHAnsi" w:cs="Arial"/>
          <w:bCs/>
          <w:color w:val="000000"/>
          <w:lang w:eastAsia="es-CO"/>
        </w:rPr>
      </w:pPr>
    </w:p>
    <w:p w:rsidR="00C635FA" w:rsidRPr="00AA0A2C" w:rsidRDefault="00C635FA" w:rsidP="00C635FA">
      <w:pPr>
        <w:rPr>
          <w:rFonts w:asciiTheme="majorHAnsi" w:eastAsia="Times New Roman" w:hAnsiTheme="majorHAnsi" w:cs="Arial"/>
          <w:bCs/>
          <w:color w:val="000000"/>
          <w:lang w:val="es-ES_tradnl" w:eastAsia="es-CO"/>
        </w:rPr>
      </w:pPr>
      <w:r w:rsidRPr="00AA0A2C">
        <w:rPr>
          <w:rFonts w:asciiTheme="majorHAnsi" w:eastAsia="Times New Roman" w:hAnsiTheme="majorHAnsi" w:cs="Arial"/>
          <w:bCs/>
          <w:color w:val="000000"/>
          <w:lang w:val="es-ES_tradnl" w:eastAsia="es-CO"/>
        </w:rPr>
        <w:t xml:space="preserve">Este análisis presentará una estimación del valor económico de beneficios y costos ambientales potenciales y considerados relevantes, sobre los flujos de bienes y servicios de la zona de influencia directa e indirecta del proyecto en el escenario de línea base y desde una perspectiva ex ante. Se </w:t>
      </w:r>
      <w:r w:rsidR="003B00D6" w:rsidRPr="00AA0A2C">
        <w:rPr>
          <w:rFonts w:asciiTheme="majorHAnsi" w:eastAsia="Times New Roman" w:hAnsiTheme="majorHAnsi" w:cs="Arial"/>
          <w:bCs/>
          <w:color w:val="000000"/>
          <w:lang w:val="es-ES_tradnl" w:eastAsia="es-CO"/>
        </w:rPr>
        <w:t>identificarán</w:t>
      </w:r>
      <w:r w:rsidRPr="00AA0A2C">
        <w:rPr>
          <w:rFonts w:asciiTheme="majorHAnsi" w:eastAsia="Times New Roman" w:hAnsiTheme="majorHAnsi" w:cs="Arial"/>
          <w:bCs/>
          <w:color w:val="000000"/>
          <w:lang w:val="es-ES_tradnl" w:eastAsia="es-CO"/>
        </w:rPr>
        <w:t xml:space="preserve"> además, los valores (de uso y de no uso) que serán impactados, con el fin de aplicar criterios de asignación del grado de importancia para el control de las afectaciones.  Una vez estimados los beneficios y costos ambientales derivados del proyecto, se desarrollará un análisis costo beneficio ambiental, de tal forma que se pueda evaluar la eficiencia, eficacia y equidad en el desarrollo de proyectos de inversión. </w:t>
      </w:r>
    </w:p>
    <w:p w:rsidR="00C635FA" w:rsidRPr="00AA0A2C" w:rsidRDefault="00C635FA" w:rsidP="00C635FA">
      <w:pPr>
        <w:rPr>
          <w:rFonts w:asciiTheme="majorHAnsi" w:eastAsia="Times New Roman" w:hAnsiTheme="majorHAnsi" w:cs="Arial"/>
          <w:bCs/>
          <w:color w:val="000000"/>
          <w:lang w:val="es-ES_tradnl" w:eastAsia="es-CO"/>
        </w:rPr>
      </w:pPr>
    </w:p>
    <w:p w:rsidR="003B00D6" w:rsidRPr="00AA0A2C" w:rsidRDefault="00C635FA" w:rsidP="00C635FA">
      <w:pPr>
        <w:rPr>
          <w:rFonts w:asciiTheme="majorHAnsi" w:eastAsia="Times New Roman" w:hAnsiTheme="majorHAnsi" w:cs="Arial"/>
          <w:bCs/>
          <w:color w:val="000000"/>
          <w:lang w:eastAsia="es-CO"/>
        </w:rPr>
      </w:pPr>
      <w:r w:rsidRPr="00AA0A2C">
        <w:rPr>
          <w:rFonts w:asciiTheme="majorHAnsi" w:eastAsia="Times New Roman" w:hAnsiTheme="majorHAnsi" w:cs="Arial"/>
          <w:bCs/>
          <w:color w:val="000000"/>
          <w:lang w:eastAsia="es-CO"/>
        </w:rPr>
        <w:t xml:space="preserve">La valoración económica de los impactos ambientales incluye la valoración de los beneficios o costos asociados al uso o afectación de los recursos naturales por parte del proyecto, los valores funcionales de los mismos, así como el costo de oportunidad de sacrificar o restringir actividades productivas en el futuro una vez se ejecute el proyecto. </w:t>
      </w:r>
    </w:p>
    <w:p w:rsidR="00C635FA" w:rsidRPr="00AA0A2C" w:rsidRDefault="003B00D6" w:rsidP="00C635FA">
      <w:pPr>
        <w:rPr>
          <w:rFonts w:asciiTheme="majorHAnsi" w:eastAsia="Times New Roman" w:hAnsiTheme="majorHAnsi" w:cs="Arial"/>
          <w:bCs/>
          <w:color w:val="000000"/>
          <w:lang w:eastAsia="es-CO"/>
        </w:rPr>
      </w:pPr>
      <w:r w:rsidRPr="00AA0A2C">
        <w:rPr>
          <w:rFonts w:asciiTheme="majorHAnsi" w:eastAsia="Times New Roman" w:hAnsiTheme="majorHAnsi" w:cs="Arial"/>
          <w:bCs/>
          <w:color w:val="000000"/>
          <w:lang w:eastAsia="es-CO"/>
        </w:rPr>
        <w:t>L</w:t>
      </w:r>
      <w:r w:rsidR="00C635FA" w:rsidRPr="00AA0A2C">
        <w:rPr>
          <w:rFonts w:asciiTheme="majorHAnsi" w:eastAsia="Times New Roman" w:hAnsiTheme="majorHAnsi" w:cs="Arial"/>
          <w:bCs/>
          <w:color w:val="000000"/>
          <w:lang w:eastAsia="es-CO"/>
        </w:rPr>
        <w:t xml:space="preserve">a siguiente Figura muestra los receptores de </w:t>
      </w:r>
      <w:r w:rsidRPr="00AA0A2C">
        <w:rPr>
          <w:rFonts w:asciiTheme="majorHAnsi" w:eastAsia="Times New Roman" w:hAnsiTheme="majorHAnsi" w:cs="Arial"/>
          <w:bCs/>
          <w:color w:val="000000"/>
          <w:lang w:eastAsia="es-CO"/>
        </w:rPr>
        <w:t>los impactos</w:t>
      </w:r>
      <w:r w:rsidR="00C635FA" w:rsidRPr="00AA0A2C">
        <w:rPr>
          <w:rFonts w:asciiTheme="majorHAnsi" w:eastAsia="Times New Roman" w:hAnsiTheme="majorHAnsi" w:cs="Arial"/>
          <w:bCs/>
          <w:color w:val="000000"/>
          <w:lang w:eastAsia="es-CO"/>
        </w:rPr>
        <w:t xml:space="preserve"> ambientales los cuales determinan el método de valoración más apropiado de acuerdo con la disponibilidad de información.</w:t>
      </w:r>
    </w:p>
    <w:p w:rsidR="00C635FA" w:rsidRPr="00AA0A2C" w:rsidRDefault="00C635FA" w:rsidP="00C635FA">
      <w:pPr>
        <w:rPr>
          <w:rFonts w:asciiTheme="majorHAnsi" w:eastAsia="Times New Roman" w:hAnsiTheme="majorHAnsi" w:cs="Arial"/>
          <w:bCs/>
          <w:color w:val="000000"/>
          <w:lang w:eastAsia="es-CO"/>
        </w:rPr>
      </w:pPr>
    </w:p>
    <w:tbl>
      <w:tblPr>
        <w:tblW w:w="0" w:type="auto"/>
        <w:jc w:val="center"/>
        <w:tblCellMar>
          <w:left w:w="70" w:type="dxa"/>
          <w:right w:w="70" w:type="dxa"/>
        </w:tblCellMar>
        <w:tblLook w:val="0000" w:firstRow="0" w:lastRow="0" w:firstColumn="0" w:lastColumn="0" w:noHBand="0" w:noVBand="0"/>
      </w:tblPr>
      <w:tblGrid>
        <w:gridCol w:w="8271"/>
      </w:tblGrid>
      <w:tr w:rsidR="00F549E4" w:rsidRPr="00AA0A2C" w:rsidTr="00AA0A2C">
        <w:trPr>
          <w:trHeight w:val="2800"/>
          <w:jc w:val="center"/>
        </w:trPr>
        <w:tc>
          <w:tcPr>
            <w:tcW w:w="2800" w:type="dxa"/>
            <w:shd w:val="clear" w:color="auto" w:fill="auto"/>
            <w:vAlign w:val="center"/>
          </w:tcPr>
          <w:p w:rsidR="00F549E4" w:rsidRPr="00AA0A2C" w:rsidRDefault="00F549E4" w:rsidP="00AA0A2C">
            <w:pPr>
              <w:keepNext/>
              <w:jc w:val="center"/>
              <w:rPr>
                <w:rFonts w:asciiTheme="majorHAnsi" w:hAnsiTheme="majorHAnsi"/>
                <w:kern w:val="32"/>
              </w:rPr>
            </w:pPr>
            <w:r w:rsidRPr="00AA0A2C">
              <w:rPr>
                <w:rFonts w:asciiTheme="majorHAnsi" w:hAnsiTheme="majorHAnsi"/>
                <w:noProof/>
                <w:kern w:val="32"/>
                <w:lang w:eastAsia="es-CO"/>
              </w:rPr>
              <w:drawing>
                <wp:inline distT="0" distB="0" distL="0" distR="0" wp14:anchorId="080CF4BF" wp14:editId="7415F224">
                  <wp:extent cx="5367338" cy="25336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780" t="1228" r="4923" b="28719"/>
                          <a:stretch/>
                        </pic:blipFill>
                        <pic:spPr bwMode="auto">
                          <a:xfrm>
                            <a:off x="0" y="0"/>
                            <a:ext cx="5371811" cy="253576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549E4" w:rsidRPr="00AA0A2C" w:rsidRDefault="00F549E4" w:rsidP="00F549E4">
      <w:pPr>
        <w:pStyle w:val="Tablas"/>
        <w:rPr>
          <w:rFonts w:asciiTheme="majorHAnsi" w:hAnsiTheme="majorHAnsi"/>
        </w:rPr>
      </w:pPr>
      <w:r w:rsidRPr="00AA0A2C">
        <w:rPr>
          <w:rFonts w:asciiTheme="majorHAnsi" w:hAnsiTheme="majorHAnsi"/>
        </w:rPr>
        <w:t xml:space="preserve">Figura </w:t>
      </w:r>
      <w:r w:rsidRPr="00AA0A2C">
        <w:rPr>
          <w:rFonts w:asciiTheme="majorHAnsi" w:hAnsiTheme="majorHAnsi"/>
        </w:rPr>
        <w:fldChar w:fldCharType="begin"/>
      </w:r>
      <w:r w:rsidRPr="00AA0A2C">
        <w:rPr>
          <w:rFonts w:asciiTheme="majorHAnsi" w:hAnsiTheme="majorHAnsi"/>
        </w:rPr>
        <w:instrText xml:space="preserve"> STYLEREF 1 \s </w:instrText>
      </w:r>
      <w:r w:rsidRPr="00AA0A2C">
        <w:rPr>
          <w:rFonts w:asciiTheme="majorHAnsi" w:hAnsiTheme="majorHAnsi"/>
        </w:rPr>
        <w:fldChar w:fldCharType="separate"/>
      </w:r>
      <w:r w:rsidR="0010296A">
        <w:rPr>
          <w:rFonts w:asciiTheme="majorHAnsi" w:hAnsiTheme="majorHAnsi"/>
          <w:noProof/>
        </w:rPr>
        <w:t>10</w:t>
      </w:r>
      <w:r w:rsidRPr="00AA0A2C">
        <w:rPr>
          <w:rFonts w:asciiTheme="majorHAnsi" w:hAnsiTheme="majorHAnsi"/>
          <w:noProof/>
        </w:rPr>
        <w:fldChar w:fldCharType="end"/>
      </w:r>
      <w:r w:rsidRPr="00AA0A2C">
        <w:rPr>
          <w:rFonts w:asciiTheme="majorHAnsi" w:hAnsiTheme="majorHAnsi"/>
        </w:rPr>
        <w:t>.</w:t>
      </w:r>
      <w:r w:rsidRPr="00AA0A2C">
        <w:rPr>
          <w:rFonts w:asciiTheme="majorHAnsi" w:hAnsiTheme="majorHAnsi"/>
        </w:rPr>
        <w:fldChar w:fldCharType="begin"/>
      </w:r>
      <w:r w:rsidRPr="00AA0A2C">
        <w:rPr>
          <w:rFonts w:asciiTheme="majorHAnsi" w:hAnsiTheme="majorHAnsi"/>
        </w:rPr>
        <w:instrText xml:space="preserve"> SEQ Figura \* ARABIC \s 1 </w:instrText>
      </w:r>
      <w:r w:rsidRPr="00AA0A2C">
        <w:rPr>
          <w:rFonts w:asciiTheme="majorHAnsi" w:hAnsiTheme="majorHAnsi"/>
        </w:rPr>
        <w:fldChar w:fldCharType="separate"/>
      </w:r>
      <w:r w:rsidR="0010296A">
        <w:rPr>
          <w:rFonts w:asciiTheme="majorHAnsi" w:hAnsiTheme="majorHAnsi"/>
          <w:noProof/>
        </w:rPr>
        <w:t>8</w:t>
      </w:r>
      <w:r w:rsidRPr="00AA0A2C">
        <w:rPr>
          <w:rFonts w:asciiTheme="majorHAnsi" w:hAnsiTheme="majorHAnsi"/>
          <w:noProof/>
        </w:rPr>
        <w:fldChar w:fldCharType="end"/>
      </w:r>
      <w:r w:rsidRPr="00AA0A2C">
        <w:rPr>
          <w:rFonts w:asciiTheme="majorHAnsi" w:hAnsiTheme="majorHAnsi"/>
        </w:rPr>
        <w:t xml:space="preserve"> Receptores de los impactos ambientales</w:t>
      </w:r>
    </w:p>
    <w:p w:rsidR="00F549E4" w:rsidRPr="00AA0A2C" w:rsidRDefault="00F549E4" w:rsidP="00F549E4">
      <w:pPr>
        <w:pStyle w:val="Notas"/>
        <w:rPr>
          <w:rFonts w:asciiTheme="majorHAnsi" w:hAnsiTheme="majorHAnsi"/>
        </w:rPr>
      </w:pPr>
      <w:r w:rsidRPr="00AA0A2C">
        <w:rPr>
          <w:rFonts w:asciiTheme="majorHAnsi" w:hAnsiTheme="majorHAnsi"/>
        </w:rPr>
        <w:t>Fuente: CEDE, Uniandes. MAVDT 2010</w:t>
      </w:r>
    </w:p>
    <w:p w:rsidR="003B00D6" w:rsidRPr="00AA0A2C" w:rsidRDefault="003B00D6" w:rsidP="00C635FA">
      <w:pPr>
        <w:rPr>
          <w:rFonts w:asciiTheme="majorHAnsi" w:eastAsia="Times New Roman" w:hAnsiTheme="majorHAnsi" w:cs="Arial"/>
          <w:bCs/>
          <w:color w:val="000000"/>
          <w:lang w:eastAsia="es-CO"/>
        </w:rPr>
      </w:pPr>
    </w:p>
    <w:p w:rsidR="00C635FA" w:rsidRPr="00AA0A2C" w:rsidRDefault="00C635FA" w:rsidP="00F549E4">
      <w:pPr>
        <w:pStyle w:val="Ttulo3"/>
        <w:rPr>
          <w:rFonts w:asciiTheme="majorHAnsi" w:hAnsiTheme="majorHAnsi"/>
        </w:rPr>
      </w:pPr>
      <w:bookmarkStart w:id="80" w:name="_Toc286404722"/>
      <w:bookmarkStart w:id="81" w:name="_Toc302429248"/>
      <w:bookmarkStart w:id="82" w:name="_Toc367786928"/>
      <w:bookmarkStart w:id="83" w:name="_Toc381338344"/>
      <w:bookmarkStart w:id="84" w:name="_Toc445192936"/>
      <w:r w:rsidRPr="00AA0A2C">
        <w:rPr>
          <w:rFonts w:asciiTheme="majorHAnsi" w:hAnsiTheme="majorHAnsi"/>
        </w:rPr>
        <w:t>Procedimiento para la valoración</w:t>
      </w:r>
      <w:bookmarkEnd w:id="80"/>
      <w:bookmarkEnd w:id="81"/>
      <w:bookmarkEnd w:id="82"/>
      <w:bookmarkEnd w:id="83"/>
      <w:bookmarkEnd w:id="84"/>
    </w:p>
    <w:p w:rsidR="00C635FA" w:rsidRPr="00AA0A2C" w:rsidRDefault="00C635FA" w:rsidP="00C635FA">
      <w:pPr>
        <w:rPr>
          <w:rFonts w:asciiTheme="majorHAnsi" w:hAnsiTheme="majorHAnsi"/>
          <w:lang w:eastAsia="es-ES"/>
        </w:rPr>
      </w:pPr>
    </w:p>
    <w:p w:rsidR="00C635FA" w:rsidRPr="00AA0A2C" w:rsidRDefault="00C635FA" w:rsidP="00C635FA">
      <w:pPr>
        <w:rPr>
          <w:rFonts w:asciiTheme="majorHAnsi" w:hAnsiTheme="majorHAnsi" w:cs="Arial"/>
        </w:rPr>
      </w:pPr>
      <w:r w:rsidRPr="00AA0A2C">
        <w:rPr>
          <w:rFonts w:asciiTheme="majorHAnsi" w:hAnsiTheme="majorHAnsi" w:cs="Arial"/>
          <w:lang w:val="es-ES_tradnl"/>
        </w:rPr>
        <w:t xml:space="preserve">El procedimiento para la valoración económica de los impactos ambientales sigue la ruta planteada en el Manual Técnico de Valoración Económica de Impactos Ambientales (CEDE – MAVDT, 2010) para la aplicación del ACB económico ambiental, en la toma de decisiones, el cual plantea los pasos que se describen en </w:t>
      </w:r>
      <w:r w:rsidRPr="00AA0A2C">
        <w:rPr>
          <w:rFonts w:asciiTheme="majorHAnsi" w:eastAsia="Times New Roman" w:hAnsiTheme="majorHAnsi" w:cs="Arial"/>
          <w:bCs/>
          <w:color w:val="000000"/>
          <w:lang w:eastAsia="es-CO"/>
        </w:rPr>
        <w:t>la</w:t>
      </w:r>
      <w:r w:rsidRPr="00AA0A2C">
        <w:rPr>
          <w:rFonts w:asciiTheme="majorHAnsi" w:hAnsiTheme="majorHAnsi" w:cs="Arial"/>
        </w:rPr>
        <w:t xml:space="preserve"> siguiente Tabla.</w:t>
      </w:r>
    </w:p>
    <w:p w:rsidR="00C635FA" w:rsidRPr="00AA0A2C" w:rsidRDefault="00C635FA" w:rsidP="00C635FA">
      <w:pPr>
        <w:rPr>
          <w:rFonts w:asciiTheme="majorHAnsi" w:hAnsiTheme="majorHAnsi" w:cs="Arial"/>
          <w:b/>
          <w:lang w:val="es-ES_tradnl"/>
        </w:rPr>
      </w:pPr>
    </w:p>
    <w:p w:rsidR="00C635FA" w:rsidRPr="00AA0A2C" w:rsidRDefault="00C635FA" w:rsidP="00C635FA">
      <w:pPr>
        <w:rPr>
          <w:rFonts w:asciiTheme="majorHAnsi" w:hAnsiTheme="majorHAnsi" w:cs="Arial"/>
          <w:lang w:val="es-ES_tradnl"/>
        </w:rPr>
      </w:pPr>
      <w:r w:rsidRPr="00AA0A2C">
        <w:rPr>
          <w:rFonts w:asciiTheme="majorHAnsi" w:hAnsiTheme="majorHAnsi" w:cs="Arial"/>
          <w:lang w:val="es-ES_tradnl"/>
        </w:rPr>
        <w:t xml:space="preserve">Estas etapas están relacionadas con las fases del ciclo del megaproyecto, dado que el análisis costo beneficio condensa los resultados del desarrollo de estos. Lo fundamental en este ACB es incorporar la valoración de los impactos ambientales (a partir de las afectaciones en el flujo de bienes y servicios ambientales impactados) dentro de la evaluación económica, sin considerar el análisis financiero. </w:t>
      </w:r>
    </w:p>
    <w:p w:rsidR="005748BA" w:rsidRPr="00AA0A2C" w:rsidRDefault="005748BA">
      <w:pPr>
        <w:spacing w:line="240" w:lineRule="auto"/>
        <w:contextualSpacing w:val="0"/>
        <w:jc w:val="left"/>
        <w:rPr>
          <w:rFonts w:asciiTheme="majorHAnsi" w:hAnsiTheme="majorHAnsi" w:cs="Arial"/>
          <w:lang w:val="es-ES_tradnl"/>
        </w:rPr>
      </w:pPr>
      <w:r w:rsidRPr="00AA0A2C">
        <w:rPr>
          <w:rFonts w:asciiTheme="majorHAnsi" w:hAnsiTheme="majorHAnsi" w:cs="Arial"/>
          <w:lang w:val="es-ES_tradnl"/>
        </w:rPr>
        <w:br w:type="page"/>
      </w:r>
    </w:p>
    <w:p w:rsidR="00C635FA" w:rsidRPr="00AA0A2C" w:rsidRDefault="005748BA" w:rsidP="005748BA">
      <w:pPr>
        <w:pStyle w:val="Tablas"/>
        <w:rPr>
          <w:rFonts w:asciiTheme="majorHAnsi" w:hAnsiTheme="majorHAnsi" w:cs="Arial"/>
          <w:lang w:val="es-ES_tradnl"/>
        </w:rPr>
      </w:pPr>
      <w:r w:rsidRPr="00AA0A2C">
        <w:rPr>
          <w:rFonts w:asciiTheme="majorHAnsi" w:hAnsiTheme="majorHAnsi"/>
        </w:rPr>
        <w:t xml:space="preserve">Tabla </w:t>
      </w:r>
      <w:r w:rsidR="006D0D6E">
        <w:rPr>
          <w:rFonts w:asciiTheme="majorHAnsi" w:hAnsiTheme="majorHAnsi"/>
        </w:rPr>
        <w:fldChar w:fldCharType="begin"/>
      </w:r>
      <w:r w:rsidR="006D0D6E">
        <w:rPr>
          <w:rFonts w:asciiTheme="majorHAnsi" w:hAnsiTheme="majorHAnsi"/>
        </w:rPr>
        <w:instrText xml:space="preserve"> STYLEREF 1 \s </w:instrText>
      </w:r>
      <w:r w:rsidR="006D0D6E">
        <w:rPr>
          <w:rFonts w:asciiTheme="majorHAnsi" w:hAnsiTheme="majorHAnsi"/>
        </w:rPr>
        <w:fldChar w:fldCharType="separate"/>
      </w:r>
      <w:r w:rsidR="006D0D6E">
        <w:rPr>
          <w:rFonts w:asciiTheme="majorHAnsi" w:hAnsiTheme="majorHAnsi"/>
          <w:noProof/>
        </w:rPr>
        <w:t>10</w:t>
      </w:r>
      <w:r w:rsidR="006D0D6E">
        <w:rPr>
          <w:rFonts w:asciiTheme="majorHAnsi" w:hAnsiTheme="majorHAnsi"/>
        </w:rPr>
        <w:fldChar w:fldCharType="end"/>
      </w:r>
      <w:r w:rsidR="006D0D6E">
        <w:rPr>
          <w:rFonts w:asciiTheme="majorHAnsi" w:hAnsiTheme="majorHAnsi"/>
        </w:rPr>
        <w:t>.</w:t>
      </w:r>
      <w:r w:rsidR="006D0D6E">
        <w:rPr>
          <w:rFonts w:asciiTheme="majorHAnsi" w:hAnsiTheme="majorHAnsi"/>
        </w:rPr>
        <w:fldChar w:fldCharType="begin"/>
      </w:r>
      <w:r w:rsidR="006D0D6E">
        <w:rPr>
          <w:rFonts w:asciiTheme="majorHAnsi" w:hAnsiTheme="majorHAnsi"/>
        </w:rPr>
        <w:instrText xml:space="preserve"> SEQ Tabla \* ARABIC \s 1 </w:instrText>
      </w:r>
      <w:r w:rsidR="006D0D6E">
        <w:rPr>
          <w:rFonts w:asciiTheme="majorHAnsi" w:hAnsiTheme="majorHAnsi"/>
        </w:rPr>
        <w:fldChar w:fldCharType="separate"/>
      </w:r>
      <w:r w:rsidR="006D0D6E">
        <w:rPr>
          <w:rFonts w:asciiTheme="majorHAnsi" w:hAnsiTheme="majorHAnsi"/>
          <w:noProof/>
        </w:rPr>
        <w:t>5</w:t>
      </w:r>
      <w:r w:rsidR="006D0D6E">
        <w:rPr>
          <w:rFonts w:asciiTheme="majorHAnsi" w:hAnsiTheme="majorHAnsi"/>
        </w:rPr>
        <w:fldChar w:fldCharType="end"/>
      </w:r>
      <w:r w:rsidRPr="00AA0A2C">
        <w:rPr>
          <w:rFonts w:asciiTheme="majorHAnsi" w:hAnsiTheme="majorHAnsi"/>
        </w:rPr>
        <w:t xml:space="preserve"> Etapas del análisis costo beneficio ambiental</w:t>
      </w:r>
    </w:p>
    <w:tbl>
      <w:tblPr>
        <w:tblStyle w:val="Gminis"/>
        <w:tblW w:w="0" w:type="auto"/>
        <w:tblLook w:val="04A0" w:firstRow="1" w:lastRow="0" w:firstColumn="1" w:lastColumn="0" w:noHBand="0" w:noVBand="1"/>
      </w:tblPr>
      <w:tblGrid>
        <w:gridCol w:w="547"/>
        <w:gridCol w:w="5375"/>
      </w:tblGrid>
      <w:tr w:rsidR="00C635FA" w:rsidRPr="00AA0A2C" w:rsidTr="008F3A5D">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47" w:type="dxa"/>
            <w:tcBorders>
              <w:top w:val="none" w:sz="0" w:space="0" w:color="auto"/>
              <w:left w:val="none" w:sz="0" w:space="0" w:color="auto"/>
              <w:bottom w:val="none" w:sz="0" w:space="0" w:color="auto"/>
            </w:tcBorders>
            <w:shd w:val="clear" w:color="auto" w:fill="BFBFBF" w:themeFill="background1" w:themeFillShade="BF"/>
            <w:vAlign w:val="center"/>
          </w:tcPr>
          <w:p w:rsidR="00C635FA" w:rsidRPr="008F3A5D" w:rsidRDefault="00C635FA" w:rsidP="00F549E4">
            <w:pPr>
              <w:jc w:val="center"/>
              <w:rPr>
                <w:rFonts w:asciiTheme="majorHAnsi" w:hAnsiTheme="majorHAnsi" w:cs="Arial"/>
                <w:bCs/>
                <w:sz w:val="20"/>
                <w:szCs w:val="20"/>
              </w:rPr>
            </w:pPr>
            <w:r w:rsidRPr="008F3A5D">
              <w:rPr>
                <w:rFonts w:asciiTheme="majorHAnsi" w:hAnsiTheme="majorHAnsi" w:cs="Arial"/>
                <w:bCs/>
                <w:sz w:val="20"/>
                <w:szCs w:val="20"/>
              </w:rPr>
              <w:t>No</w:t>
            </w:r>
          </w:p>
        </w:tc>
        <w:tc>
          <w:tcPr>
            <w:tcW w:w="5375" w:type="dxa"/>
            <w:tcBorders>
              <w:bottom w:val="none" w:sz="0" w:space="0" w:color="auto"/>
              <w:right w:val="none" w:sz="0" w:space="0" w:color="auto"/>
            </w:tcBorders>
            <w:shd w:val="clear" w:color="auto" w:fill="BFBFBF" w:themeFill="background1" w:themeFillShade="BF"/>
            <w:vAlign w:val="center"/>
          </w:tcPr>
          <w:p w:rsidR="00C635FA" w:rsidRPr="008F3A5D" w:rsidRDefault="00C635FA" w:rsidP="00F549E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8F3A5D">
              <w:rPr>
                <w:rFonts w:asciiTheme="majorHAnsi" w:hAnsiTheme="majorHAnsi" w:cs="Arial"/>
                <w:bCs/>
                <w:sz w:val="20"/>
                <w:szCs w:val="20"/>
              </w:rPr>
              <w:t>ETAPA</w:t>
            </w:r>
          </w:p>
        </w:tc>
      </w:tr>
      <w:tr w:rsidR="00C635FA" w:rsidRPr="00AA0A2C" w:rsidTr="005748BA">
        <w:trPr>
          <w:trHeight w:val="20"/>
        </w:trPr>
        <w:tc>
          <w:tcPr>
            <w:cnfStyle w:val="001000000000" w:firstRow="0" w:lastRow="0" w:firstColumn="1" w:lastColumn="0" w:oddVBand="0" w:evenVBand="0" w:oddHBand="0" w:evenHBand="0" w:firstRowFirstColumn="0" w:firstRowLastColumn="0" w:lastRowFirstColumn="0" w:lastRowLastColumn="0"/>
            <w:tcW w:w="547" w:type="dxa"/>
            <w:tcBorders>
              <w:left w:val="none" w:sz="0" w:space="0" w:color="auto"/>
            </w:tcBorders>
            <w:vAlign w:val="center"/>
          </w:tcPr>
          <w:p w:rsidR="00C635FA" w:rsidRPr="00AA0A2C" w:rsidRDefault="00C635FA" w:rsidP="00F549E4">
            <w:pPr>
              <w:jc w:val="center"/>
              <w:rPr>
                <w:rFonts w:asciiTheme="majorHAnsi" w:hAnsiTheme="majorHAnsi" w:cs="Arial"/>
                <w:b/>
                <w:bCs/>
                <w:sz w:val="20"/>
                <w:szCs w:val="20"/>
              </w:rPr>
            </w:pPr>
            <w:r w:rsidRPr="00AA0A2C">
              <w:rPr>
                <w:rFonts w:asciiTheme="majorHAnsi" w:hAnsiTheme="majorHAnsi" w:cs="Arial"/>
                <w:b/>
                <w:bCs/>
                <w:sz w:val="20"/>
                <w:szCs w:val="20"/>
              </w:rPr>
              <w:t>1</w:t>
            </w:r>
          </w:p>
        </w:tc>
        <w:tc>
          <w:tcPr>
            <w:tcW w:w="5375" w:type="dxa"/>
            <w:vAlign w:val="center"/>
          </w:tcPr>
          <w:p w:rsidR="00C635FA" w:rsidRPr="00AA0A2C" w:rsidRDefault="00C635FA" w:rsidP="00F549E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AA0A2C">
              <w:rPr>
                <w:rFonts w:asciiTheme="majorHAnsi" w:hAnsiTheme="majorHAnsi" w:cs="Arial"/>
                <w:sz w:val="20"/>
                <w:szCs w:val="20"/>
              </w:rPr>
              <w:t>Definición del Proyecto a Evaluar</w:t>
            </w:r>
          </w:p>
        </w:tc>
      </w:tr>
      <w:tr w:rsidR="00C635FA" w:rsidRPr="00AA0A2C" w:rsidTr="005748BA">
        <w:trPr>
          <w:trHeight w:val="20"/>
        </w:trPr>
        <w:tc>
          <w:tcPr>
            <w:cnfStyle w:val="001000000000" w:firstRow="0" w:lastRow="0" w:firstColumn="1" w:lastColumn="0" w:oddVBand="0" w:evenVBand="0" w:oddHBand="0" w:evenHBand="0" w:firstRowFirstColumn="0" w:firstRowLastColumn="0" w:lastRowFirstColumn="0" w:lastRowLastColumn="0"/>
            <w:tcW w:w="547" w:type="dxa"/>
            <w:tcBorders>
              <w:left w:val="none" w:sz="0" w:space="0" w:color="auto"/>
            </w:tcBorders>
            <w:vAlign w:val="center"/>
          </w:tcPr>
          <w:p w:rsidR="00C635FA" w:rsidRPr="00AA0A2C" w:rsidRDefault="00C635FA" w:rsidP="00F549E4">
            <w:pPr>
              <w:jc w:val="center"/>
              <w:rPr>
                <w:rFonts w:asciiTheme="majorHAnsi" w:hAnsiTheme="majorHAnsi" w:cs="Arial"/>
                <w:b/>
                <w:bCs/>
                <w:sz w:val="20"/>
                <w:szCs w:val="20"/>
              </w:rPr>
            </w:pPr>
            <w:r w:rsidRPr="00AA0A2C">
              <w:rPr>
                <w:rFonts w:asciiTheme="majorHAnsi" w:hAnsiTheme="majorHAnsi" w:cs="Arial"/>
                <w:b/>
                <w:bCs/>
                <w:sz w:val="20"/>
                <w:szCs w:val="20"/>
              </w:rPr>
              <w:t>2</w:t>
            </w:r>
          </w:p>
        </w:tc>
        <w:tc>
          <w:tcPr>
            <w:tcW w:w="5375" w:type="dxa"/>
            <w:vAlign w:val="center"/>
          </w:tcPr>
          <w:p w:rsidR="00C635FA" w:rsidRPr="00AA0A2C" w:rsidRDefault="00C635FA" w:rsidP="00F549E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AA0A2C">
              <w:rPr>
                <w:rFonts w:asciiTheme="majorHAnsi" w:hAnsiTheme="majorHAnsi" w:cs="Arial"/>
                <w:sz w:val="20"/>
                <w:szCs w:val="20"/>
              </w:rPr>
              <w:t>Identificación de los Impactos del Proyecto</w:t>
            </w:r>
          </w:p>
        </w:tc>
      </w:tr>
      <w:tr w:rsidR="00C635FA" w:rsidRPr="00AA0A2C" w:rsidTr="005748BA">
        <w:trPr>
          <w:trHeight w:val="20"/>
        </w:trPr>
        <w:tc>
          <w:tcPr>
            <w:cnfStyle w:val="001000000000" w:firstRow="0" w:lastRow="0" w:firstColumn="1" w:lastColumn="0" w:oddVBand="0" w:evenVBand="0" w:oddHBand="0" w:evenHBand="0" w:firstRowFirstColumn="0" w:firstRowLastColumn="0" w:lastRowFirstColumn="0" w:lastRowLastColumn="0"/>
            <w:tcW w:w="547" w:type="dxa"/>
            <w:tcBorders>
              <w:left w:val="none" w:sz="0" w:space="0" w:color="auto"/>
            </w:tcBorders>
            <w:vAlign w:val="center"/>
          </w:tcPr>
          <w:p w:rsidR="00C635FA" w:rsidRPr="00AA0A2C" w:rsidRDefault="00C635FA" w:rsidP="00F549E4">
            <w:pPr>
              <w:jc w:val="center"/>
              <w:rPr>
                <w:rFonts w:asciiTheme="majorHAnsi" w:hAnsiTheme="majorHAnsi" w:cs="Arial"/>
                <w:b/>
                <w:bCs/>
                <w:sz w:val="20"/>
                <w:szCs w:val="20"/>
              </w:rPr>
            </w:pPr>
            <w:r w:rsidRPr="00AA0A2C">
              <w:rPr>
                <w:rFonts w:asciiTheme="majorHAnsi" w:hAnsiTheme="majorHAnsi" w:cs="Arial"/>
                <w:b/>
                <w:bCs/>
                <w:sz w:val="20"/>
                <w:szCs w:val="20"/>
              </w:rPr>
              <w:t>3</w:t>
            </w:r>
          </w:p>
        </w:tc>
        <w:tc>
          <w:tcPr>
            <w:tcW w:w="5375" w:type="dxa"/>
            <w:vAlign w:val="center"/>
          </w:tcPr>
          <w:p w:rsidR="00C635FA" w:rsidRPr="00AA0A2C" w:rsidRDefault="00C635FA" w:rsidP="00F549E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AA0A2C">
              <w:rPr>
                <w:rFonts w:asciiTheme="majorHAnsi" w:hAnsiTheme="majorHAnsi" w:cs="Arial"/>
                <w:sz w:val="20"/>
                <w:szCs w:val="20"/>
              </w:rPr>
              <w:t>Identificación de los Impactos más Relevantes</w:t>
            </w:r>
          </w:p>
        </w:tc>
      </w:tr>
      <w:tr w:rsidR="00C635FA" w:rsidRPr="00AA0A2C" w:rsidTr="005748BA">
        <w:trPr>
          <w:trHeight w:val="20"/>
        </w:trPr>
        <w:tc>
          <w:tcPr>
            <w:cnfStyle w:val="001000000000" w:firstRow="0" w:lastRow="0" w:firstColumn="1" w:lastColumn="0" w:oddVBand="0" w:evenVBand="0" w:oddHBand="0" w:evenHBand="0" w:firstRowFirstColumn="0" w:firstRowLastColumn="0" w:lastRowFirstColumn="0" w:lastRowLastColumn="0"/>
            <w:tcW w:w="547" w:type="dxa"/>
            <w:tcBorders>
              <w:left w:val="none" w:sz="0" w:space="0" w:color="auto"/>
            </w:tcBorders>
            <w:vAlign w:val="center"/>
          </w:tcPr>
          <w:p w:rsidR="00C635FA" w:rsidRPr="00AA0A2C" w:rsidRDefault="00C635FA" w:rsidP="00F549E4">
            <w:pPr>
              <w:jc w:val="center"/>
              <w:rPr>
                <w:rFonts w:asciiTheme="majorHAnsi" w:hAnsiTheme="majorHAnsi" w:cs="Arial"/>
                <w:b/>
                <w:bCs/>
                <w:sz w:val="20"/>
                <w:szCs w:val="20"/>
              </w:rPr>
            </w:pPr>
            <w:r w:rsidRPr="00AA0A2C">
              <w:rPr>
                <w:rFonts w:asciiTheme="majorHAnsi" w:hAnsiTheme="majorHAnsi" w:cs="Arial"/>
                <w:b/>
                <w:bCs/>
                <w:sz w:val="20"/>
                <w:szCs w:val="20"/>
              </w:rPr>
              <w:t>4</w:t>
            </w:r>
          </w:p>
        </w:tc>
        <w:tc>
          <w:tcPr>
            <w:tcW w:w="5375" w:type="dxa"/>
            <w:vAlign w:val="center"/>
          </w:tcPr>
          <w:p w:rsidR="00C635FA" w:rsidRPr="00AA0A2C" w:rsidRDefault="00C635FA" w:rsidP="00F549E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AA0A2C">
              <w:rPr>
                <w:rFonts w:asciiTheme="majorHAnsi" w:hAnsiTheme="majorHAnsi" w:cs="Arial"/>
                <w:sz w:val="20"/>
                <w:szCs w:val="20"/>
              </w:rPr>
              <w:t>Cuantificación Física de los Impactos más Relevantes</w:t>
            </w:r>
          </w:p>
        </w:tc>
      </w:tr>
      <w:tr w:rsidR="00C635FA" w:rsidRPr="00AA0A2C" w:rsidTr="005748BA">
        <w:trPr>
          <w:trHeight w:val="20"/>
        </w:trPr>
        <w:tc>
          <w:tcPr>
            <w:cnfStyle w:val="001000000000" w:firstRow="0" w:lastRow="0" w:firstColumn="1" w:lastColumn="0" w:oddVBand="0" w:evenVBand="0" w:oddHBand="0" w:evenHBand="0" w:firstRowFirstColumn="0" w:firstRowLastColumn="0" w:lastRowFirstColumn="0" w:lastRowLastColumn="0"/>
            <w:tcW w:w="547" w:type="dxa"/>
            <w:tcBorders>
              <w:left w:val="none" w:sz="0" w:space="0" w:color="auto"/>
            </w:tcBorders>
            <w:vAlign w:val="center"/>
          </w:tcPr>
          <w:p w:rsidR="00C635FA" w:rsidRPr="00AA0A2C" w:rsidRDefault="00C635FA" w:rsidP="00F549E4">
            <w:pPr>
              <w:jc w:val="center"/>
              <w:rPr>
                <w:rFonts w:asciiTheme="majorHAnsi" w:hAnsiTheme="majorHAnsi" w:cs="Arial"/>
                <w:b/>
                <w:bCs/>
                <w:sz w:val="20"/>
                <w:szCs w:val="20"/>
              </w:rPr>
            </w:pPr>
            <w:r w:rsidRPr="00AA0A2C">
              <w:rPr>
                <w:rFonts w:asciiTheme="majorHAnsi" w:hAnsiTheme="majorHAnsi" w:cs="Arial"/>
                <w:b/>
                <w:bCs/>
                <w:sz w:val="20"/>
                <w:szCs w:val="20"/>
              </w:rPr>
              <w:t>5</w:t>
            </w:r>
          </w:p>
        </w:tc>
        <w:tc>
          <w:tcPr>
            <w:tcW w:w="5375" w:type="dxa"/>
            <w:vAlign w:val="center"/>
          </w:tcPr>
          <w:p w:rsidR="00C635FA" w:rsidRPr="00AA0A2C" w:rsidRDefault="00C635FA" w:rsidP="00F549E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AA0A2C">
              <w:rPr>
                <w:rFonts w:asciiTheme="majorHAnsi" w:hAnsiTheme="majorHAnsi" w:cs="Arial"/>
                <w:sz w:val="20"/>
                <w:szCs w:val="20"/>
              </w:rPr>
              <w:t>Valoración Monetaria de los Impactos más Relevantes</w:t>
            </w:r>
          </w:p>
        </w:tc>
      </w:tr>
      <w:tr w:rsidR="00C635FA" w:rsidRPr="00AA0A2C" w:rsidTr="005748BA">
        <w:trPr>
          <w:trHeight w:val="20"/>
        </w:trPr>
        <w:tc>
          <w:tcPr>
            <w:cnfStyle w:val="001000000000" w:firstRow="0" w:lastRow="0" w:firstColumn="1" w:lastColumn="0" w:oddVBand="0" w:evenVBand="0" w:oddHBand="0" w:evenHBand="0" w:firstRowFirstColumn="0" w:firstRowLastColumn="0" w:lastRowFirstColumn="0" w:lastRowLastColumn="0"/>
            <w:tcW w:w="547" w:type="dxa"/>
            <w:tcBorders>
              <w:left w:val="none" w:sz="0" w:space="0" w:color="auto"/>
            </w:tcBorders>
            <w:vAlign w:val="center"/>
          </w:tcPr>
          <w:p w:rsidR="00C635FA" w:rsidRPr="00AA0A2C" w:rsidRDefault="00C635FA" w:rsidP="00F549E4">
            <w:pPr>
              <w:jc w:val="center"/>
              <w:rPr>
                <w:rFonts w:asciiTheme="majorHAnsi" w:hAnsiTheme="majorHAnsi" w:cs="Arial"/>
                <w:b/>
                <w:bCs/>
                <w:sz w:val="20"/>
                <w:szCs w:val="20"/>
              </w:rPr>
            </w:pPr>
            <w:r w:rsidRPr="00AA0A2C">
              <w:rPr>
                <w:rFonts w:asciiTheme="majorHAnsi" w:hAnsiTheme="majorHAnsi" w:cs="Arial"/>
                <w:b/>
                <w:bCs/>
                <w:sz w:val="20"/>
                <w:szCs w:val="20"/>
              </w:rPr>
              <w:t>6</w:t>
            </w:r>
          </w:p>
        </w:tc>
        <w:tc>
          <w:tcPr>
            <w:tcW w:w="5375" w:type="dxa"/>
            <w:vAlign w:val="center"/>
          </w:tcPr>
          <w:p w:rsidR="00C635FA" w:rsidRPr="00AA0A2C" w:rsidRDefault="00C635FA" w:rsidP="00F549E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AA0A2C">
              <w:rPr>
                <w:rFonts w:asciiTheme="majorHAnsi" w:hAnsiTheme="majorHAnsi" w:cs="Arial"/>
                <w:sz w:val="20"/>
                <w:szCs w:val="20"/>
              </w:rPr>
              <w:t>Descontar el Flujo de Beneficios y Costos</w:t>
            </w:r>
          </w:p>
        </w:tc>
      </w:tr>
      <w:tr w:rsidR="00C635FA" w:rsidRPr="00AA0A2C" w:rsidTr="005748BA">
        <w:trPr>
          <w:trHeight w:val="20"/>
        </w:trPr>
        <w:tc>
          <w:tcPr>
            <w:cnfStyle w:val="001000000000" w:firstRow="0" w:lastRow="0" w:firstColumn="1" w:lastColumn="0" w:oddVBand="0" w:evenVBand="0" w:oddHBand="0" w:evenHBand="0" w:firstRowFirstColumn="0" w:firstRowLastColumn="0" w:lastRowFirstColumn="0" w:lastRowLastColumn="0"/>
            <w:tcW w:w="547" w:type="dxa"/>
            <w:tcBorders>
              <w:left w:val="none" w:sz="0" w:space="0" w:color="auto"/>
            </w:tcBorders>
            <w:vAlign w:val="center"/>
          </w:tcPr>
          <w:p w:rsidR="00C635FA" w:rsidRPr="00AA0A2C" w:rsidRDefault="00C635FA" w:rsidP="00F549E4">
            <w:pPr>
              <w:jc w:val="center"/>
              <w:rPr>
                <w:rFonts w:asciiTheme="majorHAnsi" w:hAnsiTheme="majorHAnsi" w:cs="Arial"/>
                <w:b/>
                <w:bCs/>
                <w:sz w:val="20"/>
                <w:szCs w:val="20"/>
              </w:rPr>
            </w:pPr>
            <w:r w:rsidRPr="00AA0A2C">
              <w:rPr>
                <w:rFonts w:asciiTheme="majorHAnsi" w:hAnsiTheme="majorHAnsi" w:cs="Arial"/>
                <w:b/>
                <w:bCs/>
                <w:sz w:val="20"/>
                <w:szCs w:val="20"/>
              </w:rPr>
              <w:t>7</w:t>
            </w:r>
          </w:p>
        </w:tc>
        <w:tc>
          <w:tcPr>
            <w:tcW w:w="5375" w:type="dxa"/>
            <w:vAlign w:val="center"/>
          </w:tcPr>
          <w:p w:rsidR="00C635FA" w:rsidRPr="00AA0A2C" w:rsidRDefault="00C635FA" w:rsidP="00F549E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AA0A2C">
              <w:rPr>
                <w:rFonts w:asciiTheme="majorHAnsi" w:hAnsiTheme="majorHAnsi" w:cs="Arial"/>
                <w:sz w:val="20"/>
                <w:szCs w:val="20"/>
              </w:rPr>
              <w:t>Obtención de los Principales Criterios de Decisión</w:t>
            </w:r>
          </w:p>
        </w:tc>
      </w:tr>
      <w:tr w:rsidR="00C635FA" w:rsidRPr="00AA0A2C" w:rsidTr="005748BA">
        <w:trPr>
          <w:trHeight w:val="20"/>
        </w:trPr>
        <w:tc>
          <w:tcPr>
            <w:cnfStyle w:val="001000000000" w:firstRow="0" w:lastRow="0" w:firstColumn="1" w:lastColumn="0" w:oddVBand="0" w:evenVBand="0" w:oddHBand="0" w:evenHBand="0" w:firstRowFirstColumn="0" w:firstRowLastColumn="0" w:lastRowFirstColumn="0" w:lastRowLastColumn="0"/>
            <w:tcW w:w="547" w:type="dxa"/>
            <w:tcBorders>
              <w:left w:val="none" w:sz="0" w:space="0" w:color="auto"/>
            </w:tcBorders>
            <w:vAlign w:val="center"/>
          </w:tcPr>
          <w:p w:rsidR="00C635FA" w:rsidRPr="00AA0A2C" w:rsidRDefault="00C635FA" w:rsidP="00F549E4">
            <w:pPr>
              <w:jc w:val="center"/>
              <w:rPr>
                <w:rFonts w:asciiTheme="majorHAnsi" w:hAnsiTheme="majorHAnsi" w:cs="Arial"/>
                <w:b/>
                <w:bCs/>
                <w:sz w:val="20"/>
                <w:szCs w:val="20"/>
              </w:rPr>
            </w:pPr>
            <w:r w:rsidRPr="00AA0A2C">
              <w:rPr>
                <w:rFonts w:asciiTheme="majorHAnsi" w:hAnsiTheme="majorHAnsi" w:cs="Arial"/>
                <w:b/>
                <w:bCs/>
                <w:sz w:val="20"/>
                <w:szCs w:val="20"/>
              </w:rPr>
              <w:t>8</w:t>
            </w:r>
          </w:p>
        </w:tc>
        <w:tc>
          <w:tcPr>
            <w:tcW w:w="5375" w:type="dxa"/>
            <w:vAlign w:val="center"/>
          </w:tcPr>
          <w:p w:rsidR="00C635FA" w:rsidRPr="00AA0A2C" w:rsidRDefault="00C635FA" w:rsidP="00F549E4">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AA0A2C">
              <w:rPr>
                <w:rFonts w:asciiTheme="majorHAnsi" w:hAnsiTheme="majorHAnsi" w:cs="Arial"/>
                <w:sz w:val="20"/>
                <w:szCs w:val="20"/>
              </w:rPr>
              <w:t>Análisis de Sensibilidad</w:t>
            </w:r>
          </w:p>
        </w:tc>
      </w:tr>
    </w:tbl>
    <w:p w:rsidR="005748BA" w:rsidRPr="00AA0A2C" w:rsidRDefault="005748BA" w:rsidP="00F549E4">
      <w:pPr>
        <w:pStyle w:val="Notas"/>
        <w:rPr>
          <w:rFonts w:asciiTheme="majorHAnsi" w:hAnsiTheme="majorHAnsi"/>
        </w:rPr>
      </w:pPr>
      <w:bookmarkStart w:id="85" w:name="_Toc381338374"/>
      <w:r w:rsidRPr="00AA0A2C">
        <w:rPr>
          <w:rFonts w:asciiTheme="majorHAnsi" w:hAnsiTheme="majorHAnsi"/>
        </w:rPr>
        <w:t>Fuente: CEDE, Uniandes – MAVDT, 2010. Evaluación económica de impactos ambientales en proyectos sujetos a licenciamiento ambiental</w:t>
      </w:r>
    </w:p>
    <w:p w:rsidR="005748BA" w:rsidRPr="00AA0A2C" w:rsidRDefault="005748BA" w:rsidP="00F549E4">
      <w:pPr>
        <w:pStyle w:val="Notas"/>
        <w:rPr>
          <w:rFonts w:asciiTheme="majorHAnsi" w:hAnsiTheme="majorHAnsi"/>
        </w:rPr>
      </w:pPr>
    </w:p>
    <w:bookmarkEnd w:id="85"/>
    <w:p w:rsidR="00C635FA" w:rsidRPr="00AA0A2C" w:rsidRDefault="00C635FA" w:rsidP="00C635FA">
      <w:pPr>
        <w:rPr>
          <w:rFonts w:asciiTheme="majorHAnsi" w:hAnsiTheme="majorHAnsi" w:cs="Arial"/>
          <w:lang w:eastAsia="es-CO"/>
        </w:rPr>
      </w:pPr>
      <w:r w:rsidRPr="00AA0A2C">
        <w:rPr>
          <w:rFonts w:asciiTheme="majorHAnsi" w:hAnsiTheme="majorHAnsi" w:cs="Arial"/>
          <w:lang w:eastAsia="es-CO"/>
        </w:rPr>
        <w:t>Los requerimientos de información para la evaluación económica de los impactos ambientales pueden ser agrupados en dos categorías:</w:t>
      </w:r>
    </w:p>
    <w:p w:rsidR="00C635FA" w:rsidRPr="00AA0A2C" w:rsidRDefault="00C635FA" w:rsidP="00C635FA">
      <w:pPr>
        <w:rPr>
          <w:rFonts w:asciiTheme="majorHAnsi" w:hAnsiTheme="majorHAnsi" w:cs="Arial"/>
          <w:lang w:eastAsia="es-CO"/>
        </w:rPr>
      </w:pPr>
    </w:p>
    <w:p w:rsidR="00C635FA" w:rsidRPr="00AA0A2C" w:rsidRDefault="00C635FA" w:rsidP="00CD7283">
      <w:pPr>
        <w:numPr>
          <w:ilvl w:val="0"/>
          <w:numId w:val="19"/>
        </w:numPr>
        <w:spacing w:line="240" w:lineRule="auto"/>
        <w:ind w:left="426"/>
        <w:contextualSpacing w:val="0"/>
        <w:rPr>
          <w:rFonts w:asciiTheme="majorHAnsi" w:hAnsiTheme="majorHAnsi" w:cs="Arial"/>
          <w:lang w:eastAsia="es-CO"/>
        </w:rPr>
      </w:pPr>
      <w:r w:rsidRPr="00AA0A2C">
        <w:rPr>
          <w:rFonts w:asciiTheme="majorHAnsi" w:hAnsiTheme="majorHAnsi" w:cs="Arial"/>
          <w:lang w:eastAsia="es-CO"/>
        </w:rPr>
        <w:t>Información de Tipo Técnico</w:t>
      </w:r>
    </w:p>
    <w:p w:rsidR="00C635FA" w:rsidRPr="00AA0A2C" w:rsidRDefault="00C635FA" w:rsidP="00CD7283">
      <w:pPr>
        <w:numPr>
          <w:ilvl w:val="0"/>
          <w:numId w:val="19"/>
        </w:numPr>
        <w:spacing w:line="240" w:lineRule="auto"/>
        <w:ind w:left="426"/>
        <w:contextualSpacing w:val="0"/>
        <w:rPr>
          <w:rFonts w:asciiTheme="majorHAnsi" w:hAnsiTheme="majorHAnsi" w:cs="Arial"/>
          <w:lang w:eastAsia="es-CO"/>
        </w:rPr>
      </w:pPr>
      <w:r w:rsidRPr="00AA0A2C">
        <w:rPr>
          <w:rFonts w:asciiTheme="majorHAnsi" w:hAnsiTheme="majorHAnsi" w:cs="Arial"/>
          <w:lang w:eastAsia="es-CO"/>
        </w:rPr>
        <w:t>Información de Tipo Económico</w:t>
      </w:r>
    </w:p>
    <w:p w:rsidR="00C635FA" w:rsidRPr="00AA0A2C" w:rsidRDefault="00C635FA" w:rsidP="00C635FA">
      <w:pPr>
        <w:rPr>
          <w:rFonts w:asciiTheme="majorHAnsi" w:hAnsiTheme="majorHAnsi" w:cs="Arial"/>
          <w:lang w:eastAsia="es-CO"/>
        </w:rPr>
      </w:pPr>
    </w:p>
    <w:p w:rsidR="00C635FA" w:rsidRPr="00AA0A2C" w:rsidRDefault="00C635FA" w:rsidP="00C635FA">
      <w:pPr>
        <w:rPr>
          <w:rFonts w:asciiTheme="majorHAnsi" w:hAnsiTheme="majorHAnsi" w:cs="Arial"/>
          <w:lang w:eastAsia="es-CO"/>
        </w:rPr>
      </w:pPr>
      <w:r w:rsidRPr="00AA0A2C">
        <w:rPr>
          <w:rFonts w:asciiTheme="majorHAnsi" w:hAnsiTheme="majorHAnsi" w:cs="Arial"/>
          <w:lang w:eastAsia="es-CO"/>
        </w:rPr>
        <w:t xml:space="preserve">El primer tipo de información sirve para cuantificar los cambios en la calidad o en la cantidad de los bienes o servicios ambientales derivados de las acciones propuestas. Toda esta información sirve para estimar funciones de daño físico sobre </w:t>
      </w:r>
      <w:r w:rsidR="005748BA" w:rsidRPr="00AA0A2C">
        <w:rPr>
          <w:rFonts w:asciiTheme="majorHAnsi" w:hAnsiTheme="majorHAnsi" w:cs="Arial"/>
          <w:lang w:eastAsia="es-CO"/>
        </w:rPr>
        <w:t>los recursos</w:t>
      </w:r>
      <w:r w:rsidRPr="00AA0A2C">
        <w:rPr>
          <w:rFonts w:asciiTheme="majorHAnsi" w:hAnsiTheme="majorHAnsi" w:cs="Arial"/>
          <w:lang w:eastAsia="es-CO"/>
        </w:rPr>
        <w:t xml:space="preserve"> naturales y ambientales (para estimar de manera objetiva la relación causa – efecto del daño físico total y marginal ambiental). Daños que luego serán traducidos por los economistas ambientales a valores económicos, para estimar los impactos en bienestar social de todas y cada de las actividades económicas emprendidas por el hombre.</w:t>
      </w:r>
    </w:p>
    <w:p w:rsidR="00C635FA" w:rsidRPr="00AA0A2C" w:rsidRDefault="00C635FA" w:rsidP="00C635FA">
      <w:pPr>
        <w:rPr>
          <w:rFonts w:asciiTheme="majorHAnsi" w:hAnsiTheme="majorHAnsi" w:cs="Arial"/>
          <w:lang w:eastAsia="es-CO"/>
        </w:rPr>
      </w:pPr>
    </w:p>
    <w:p w:rsidR="00C635FA" w:rsidRPr="00AA0A2C" w:rsidRDefault="00C635FA" w:rsidP="00C635FA">
      <w:pPr>
        <w:rPr>
          <w:rFonts w:asciiTheme="majorHAnsi" w:hAnsiTheme="majorHAnsi" w:cs="Arial"/>
          <w:lang w:eastAsia="es-CO"/>
        </w:rPr>
      </w:pPr>
      <w:r w:rsidRPr="00AA0A2C">
        <w:rPr>
          <w:rFonts w:asciiTheme="majorHAnsi" w:hAnsiTheme="majorHAnsi" w:cs="Arial"/>
          <w:lang w:eastAsia="es-CO"/>
        </w:rPr>
        <w:t xml:space="preserve">El segundo tipo de información consiste en la recolección de información acerca de los precios de los bienes </w:t>
      </w:r>
      <w:r w:rsidR="005748BA" w:rsidRPr="00AA0A2C">
        <w:rPr>
          <w:rFonts w:asciiTheme="majorHAnsi" w:hAnsiTheme="majorHAnsi" w:cs="Arial"/>
          <w:lang w:eastAsia="es-CO"/>
        </w:rPr>
        <w:t>e insumos</w:t>
      </w:r>
      <w:r w:rsidRPr="00AA0A2C">
        <w:rPr>
          <w:rFonts w:asciiTheme="majorHAnsi" w:hAnsiTheme="majorHAnsi" w:cs="Arial"/>
          <w:lang w:eastAsia="es-CO"/>
        </w:rPr>
        <w:t xml:space="preserve"> relacionados con los bienes o servicios ambientales, en los mercados convencionales. Esta información es sumamente útil para expresar todos los cambios en la calidad o cantidad ambiental derivados de las modificaciones en el ambiente producidas por las políticas del gobierno y por las acciones de las personas. Este tipo de información es val</w:t>
      </w:r>
      <w:r w:rsidR="007B4700">
        <w:rPr>
          <w:rFonts w:asciiTheme="majorHAnsi" w:hAnsiTheme="majorHAnsi" w:cs="Arial"/>
          <w:lang w:eastAsia="es-CO"/>
        </w:rPr>
        <w:t>i</w:t>
      </w:r>
      <w:r w:rsidRPr="00AA0A2C">
        <w:rPr>
          <w:rFonts w:asciiTheme="majorHAnsi" w:hAnsiTheme="majorHAnsi" w:cs="Arial"/>
          <w:lang w:eastAsia="es-CO"/>
        </w:rPr>
        <w:t>oso para la aplicación de los métodos de valoración incluidos dentro del enfoque indirecto.</w:t>
      </w:r>
    </w:p>
    <w:p w:rsidR="00C635FA" w:rsidRPr="00AA0A2C" w:rsidRDefault="00C635FA" w:rsidP="00C635FA">
      <w:pPr>
        <w:rPr>
          <w:rFonts w:asciiTheme="majorHAnsi" w:hAnsiTheme="majorHAnsi" w:cs="Arial"/>
          <w:lang w:val="es-ES_tradnl"/>
        </w:rPr>
      </w:pPr>
    </w:p>
    <w:p w:rsidR="00C635FA" w:rsidRPr="00AA0A2C" w:rsidRDefault="00C635FA" w:rsidP="00C635FA">
      <w:pPr>
        <w:rPr>
          <w:rFonts w:asciiTheme="majorHAnsi" w:hAnsiTheme="majorHAnsi" w:cs="Arial"/>
          <w:lang w:val="es-ES_tradnl"/>
        </w:rPr>
      </w:pPr>
      <w:r w:rsidRPr="00AA0A2C">
        <w:rPr>
          <w:rFonts w:asciiTheme="majorHAnsi" w:hAnsiTheme="majorHAnsi" w:cs="Arial"/>
          <w:lang w:val="es-ES_tradnl"/>
        </w:rPr>
        <w:t xml:space="preserve">Dentro de la evaluación económica de los impactos más relevantes </w:t>
      </w:r>
      <w:r w:rsidR="005748BA" w:rsidRPr="00AA0A2C">
        <w:rPr>
          <w:rFonts w:asciiTheme="majorHAnsi" w:hAnsiTheme="majorHAnsi" w:cs="Arial"/>
          <w:lang w:val="es-ES_tradnl"/>
        </w:rPr>
        <w:t>del proyecto</w:t>
      </w:r>
      <w:r w:rsidRPr="00AA0A2C">
        <w:rPr>
          <w:rFonts w:asciiTheme="majorHAnsi" w:hAnsiTheme="majorHAnsi" w:cs="Arial"/>
          <w:lang w:val="es-ES_tradnl"/>
        </w:rPr>
        <w:t xml:space="preserve"> </w:t>
      </w:r>
      <w:r w:rsidR="005748BA" w:rsidRPr="00AA0A2C">
        <w:rPr>
          <w:rFonts w:asciiTheme="majorHAnsi" w:hAnsiTheme="majorHAnsi"/>
        </w:rPr>
        <w:t xml:space="preserve">Construcción de la Variante Puerto Berrío en los Departamentos de Antioquia y Santander, </w:t>
      </w:r>
      <w:r w:rsidR="005748BA" w:rsidRPr="00AA0A2C">
        <w:rPr>
          <w:rFonts w:asciiTheme="majorHAnsi" w:hAnsiTheme="majorHAnsi" w:cs="Arial"/>
          <w:lang w:val="es-ES_tradnl"/>
        </w:rPr>
        <w:t>se</w:t>
      </w:r>
      <w:r w:rsidRPr="00AA0A2C">
        <w:rPr>
          <w:rFonts w:asciiTheme="majorHAnsi" w:hAnsiTheme="majorHAnsi" w:cs="Arial"/>
          <w:lang w:val="es-ES_tradnl"/>
        </w:rPr>
        <w:t xml:space="preserve"> han adelantado ya las cuatro primeras etapas del análisis costo / beneficio ambiental y por tanto, en este capítulo se abordarán las fases 5, 6,</w:t>
      </w:r>
      <w:r w:rsidR="005748BA" w:rsidRPr="00AA0A2C">
        <w:rPr>
          <w:rFonts w:asciiTheme="majorHAnsi" w:hAnsiTheme="majorHAnsi" w:cs="Arial"/>
          <w:lang w:val="es-ES_tradnl"/>
        </w:rPr>
        <w:t xml:space="preserve"> </w:t>
      </w:r>
      <w:r w:rsidRPr="00AA0A2C">
        <w:rPr>
          <w:rFonts w:asciiTheme="majorHAnsi" w:hAnsiTheme="majorHAnsi" w:cs="Arial"/>
          <w:lang w:val="es-ES_tradnl"/>
        </w:rPr>
        <w:t xml:space="preserve">7 y 8, que se indican en la tabla anterior. </w:t>
      </w:r>
    </w:p>
    <w:p w:rsidR="00C635FA" w:rsidRPr="00AA0A2C" w:rsidRDefault="00C635FA" w:rsidP="00C635FA">
      <w:pPr>
        <w:rPr>
          <w:rFonts w:asciiTheme="majorHAnsi" w:hAnsiTheme="majorHAnsi" w:cs="Arial"/>
          <w:lang w:val="es-ES_tradnl"/>
        </w:rPr>
      </w:pPr>
    </w:p>
    <w:p w:rsidR="00C635FA" w:rsidRPr="00AA0A2C" w:rsidRDefault="00C635FA" w:rsidP="00C635FA">
      <w:pPr>
        <w:rPr>
          <w:rFonts w:asciiTheme="majorHAnsi" w:hAnsiTheme="majorHAnsi" w:cs="Arial"/>
        </w:rPr>
      </w:pPr>
      <w:r w:rsidRPr="00AA0A2C">
        <w:rPr>
          <w:rFonts w:asciiTheme="majorHAnsi" w:hAnsiTheme="majorHAnsi" w:cs="Arial"/>
          <w:lang w:val="es-ES_tradnl"/>
        </w:rPr>
        <w:t xml:space="preserve">La valoración monetaria de los impactos seleccionados, considera en primer lugar los costos ambientales a nivel de cada componente y elemento y luego los beneficios ambientales, posteriormente los beneficios y costos ambientales serán consolidados en componentes y elementos para finalmente descontar el flujo de beneficios y costos y estimar los diferentes indicadores económicos. </w:t>
      </w:r>
      <w:r w:rsidRPr="00AA0A2C">
        <w:rPr>
          <w:rFonts w:asciiTheme="majorHAnsi" w:hAnsiTheme="majorHAnsi" w:cs="Arial"/>
        </w:rPr>
        <w:t xml:space="preserve">Para una mejor ilustración se describe la metodología utilizada en el estimativo de cada costo y cada beneficio, los cuales se </w:t>
      </w:r>
      <w:r w:rsidR="005748BA" w:rsidRPr="00AA0A2C">
        <w:rPr>
          <w:rFonts w:asciiTheme="majorHAnsi" w:hAnsiTheme="majorHAnsi" w:cs="Arial"/>
        </w:rPr>
        <w:t>consolidan y</w:t>
      </w:r>
      <w:r w:rsidRPr="00AA0A2C">
        <w:rPr>
          <w:rFonts w:asciiTheme="majorHAnsi" w:hAnsiTheme="majorHAnsi" w:cs="Arial"/>
        </w:rPr>
        <w:t xml:space="preserve"> se soporta con el cuadro en la que se consignan las cifras base y aquellas obtenidas.</w:t>
      </w:r>
    </w:p>
    <w:p w:rsidR="00C635FA" w:rsidRPr="00AA0A2C" w:rsidRDefault="00C635FA" w:rsidP="00C635FA">
      <w:pPr>
        <w:rPr>
          <w:rFonts w:asciiTheme="majorHAnsi" w:hAnsiTheme="majorHAnsi" w:cs="Arial"/>
        </w:rPr>
      </w:pPr>
    </w:p>
    <w:p w:rsidR="00C635FA" w:rsidRPr="00AA0A2C" w:rsidRDefault="00C635FA" w:rsidP="00C635FA">
      <w:pPr>
        <w:rPr>
          <w:rFonts w:asciiTheme="majorHAnsi" w:hAnsiTheme="majorHAnsi" w:cs="Arial"/>
        </w:rPr>
      </w:pPr>
      <w:r w:rsidRPr="00AA0A2C">
        <w:rPr>
          <w:rFonts w:asciiTheme="majorHAnsi" w:hAnsiTheme="majorHAnsi" w:cs="Arial"/>
        </w:rPr>
        <w:t>Con el propósito de evidenciar la consistencia de los resultados con el desarrollo de los argumentos teóricos, se sigue el mismo orden secuencial de los impactos seleccionados como los más significativos y por tanto, objeto del ejercicio de la respectiva valoración económica.</w:t>
      </w:r>
    </w:p>
    <w:p w:rsidR="00C635FA" w:rsidRPr="00AA0A2C" w:rsidRDefault="00C635FA" w:rsidP="00C635FA">
      <w:pPr>
        <w:rPr>
          <w:rFonts w:asciiTheme="majorHAnsi" w:hAnsiTheme="majorHAnsi" w:cs="Arial"/>
        </w:rPr>
      </w:pPr>
    </w:p>
    <w:p w:rsidR="00C635FA" w:rsidRPr="00AA0A2C" w:rsidRDefault="00C635FA" w:rsidP="005748BA">
      <w:pPr>
        <w:pStyle w:val="Ttulo3"/>
        <w:rPr>
          <w:rFonts w:asciiTheme="majorHAnsi" w:hAnsiTheme="majorHAnsi"/>
        </w:rPr>
      </w:pPr>
      <w:bookmarkStart w:id="86" w:name="_Toc367786929"/>
      <w:bookmarkStart w:id="87" w:name="_Toc381338345"/>
      <w:bookmarkStart w:id="88" w:name="_Toc445192937"/>
      <w:r w:rsidRPr="00AA0A2C">
        <w:rPr>
          <w:rFonts w:asciiTheme="majorHAnsi" w:hAnsiTheme="majorHAnsi"/>
        </w:rPr>
        <w:t>Etapas del Proyecto y actividades con potencial de generar impactos ambientales y sociales</w:t>
      </w:r>
      <w:bookmarkEnd w:id="86"/>
      <w:bookmarkEnd w:id="87"/>
      <w:bookmarkEnd w:id="88"/>
    </w:p>
    <w:p w:rsidR="00C635FA" w:rsidRPr="00AA0A2C" w:rsidRDefault="00C635FA" w:rsidP="00C635FA">
      <w:pPr>
        <w:rPr>
          <w:rFonts w:asciiTheme="majorHAnsi" w:eastAsia="Times New Roman" w:hAnsiTheme="majorHAnsi" w:cs="Arial"/>
          <w:lang w:eastAsia="es-ES"/>
        </w:rPr>
      </w:pPr>
    </w:p>
    <w:p w:rsidR="00C635FA" w:rsidRPr="00AA0A2C" w:rsidRDefault="00C635FA" w:rsidP="00C635FA">
      <w:pPr>
        <w:rPr>
          <w:rFonts w:asciiTheme="majorHAnsi" w:eastAsia="Times New Roman" w:hAnsiTheme="majorHAnsi" w:cs="Arial"/>
          <w:lang w:eastAsia="es-ES"/>
        </w:rPr>
      </w:pPr>
      <w:r w:rsidRPr="00AA0A2C">
        <w:rPr>
          <w:rFonts w:asciiTheme="majorHAnsi" w:eastAsia="Times New Roman" w:hAnsiTheme="majorHAnsi" w:cs="Arial"/>
          <w:lang w:eastAsia="es-ES"/>
        </w:rPr>
        <w:t xml:space="preserve">De acuerdo con el esquema de trabajo propuesto para la construcción y operación del </w:t>
      </w:r>
      <w:r w:rsidRPr="00AA0A2C">
        <w:rPr>
          <w:rFonts w:asciiTheme="majorHAnsi" w:hAnsiTheme="majorHAnsi" w:cs="Arial"/>
        </w:rPr>
        <w:t xml:space="preserve">Proyecto </w:t>
      </w:r>
      <w:r w:rsidR="005748BA" w:rsidRPr="00AA0A2C">
        <w:rPr>
          <w:rFonts w:asciiTheme="majorHAnsi" w:hAnsiTheme="majorHAnsi"/>
        </w:rPr>
        <w:t>Construcción de la Variante Puerto Berrío en los Departamentos de Antioquia y Santander</w:t>
      </w:r>
      <w:r w:rsidR="005748BA" w:rsidRPr="00AA0A2C">
        <w:rPr>
          <w:rFonts w:asciiTheme="majorHAnsi" w:eastAsia="Times New Roman" w:hAnsiTheme="majorHAnsi" w:cs="Arial"/>
          <w:lang w:eastAsia="es-ES"/>
        </w:rPr>
        <w:t>,</w:t>
      </w:r>
      <w:r w:rsidRPr="00AA0A2C">
        <w:rPr>
          <w:rFonts w:asciiTheme="majorHAnsi" w:eastAsia="Times New Roman" w:hAnsiTheme="majorHAnsi" w:cs="Arial"/>
          <w:lang w:eastAsia="es-ES"/>
        </w:rPr>
        <w:t xml:space="preserve"> a </w:t>
      </w:r>
      <w:r w:rsidR="005748BA" w:rsidRPr="00AA0A2C">
        <w:rPr>
          <w:rFonts w:asciiTheme="majorHAnsi" w:eastAsia="Times New Roman" w:hAnsiTheme="majorHAnsi" w:cs="Arial"/>
          <w:lang w:eastAsia="es-ES"/>
        </w:rPr>
        <w:t>continuación,</w:t>
      </w:r>
      <w:r w:rsidRPr="00AA0A2C">
        <w:rPr>
          <w:rFonts w:asciiTheme="majorHAnsi" w:eastAsia="Times New Roman" w:hAnsiTheme="majorHAnsi" w:cs="Arial"/>
          <w:lang w:eastAsia="es-ES"/>
        </w:rPr>
        <w:t xml:space="preserve"> se describen las principales actividades, las cuales se dividen en tres fases: Pre-construcción, Construcción y Operación.</w:t>
      </w:r>
    </w:p>
    <w:p w:rsidR="00C635FA" w:rsidRPr="00AA0A2C" w:rsidRDefault="00C635FA" w:rsidP="00C635FA">
      <w:pPr>
        <w:rPr>
          <w:rFonts w:asciiTheme="majorHAnsi" w:eastAsia="Times New Roman" w:hAnsiTheme="majorHAnsi" w:cs="Arial"/>
          <w:lang w:eastAsia="es-ES"/>
        </w:rPr>
      </w:pPr>
    </w:p>
    <w:p w:rsidR="00C635FA" w:rsidRPr="00AA0A2C" w:rsidRDefault="00C635FA" w:rsidP="00C635FA">
      <w:pPr>
        <w:rPr>
          <w:rFonts w:asciiTheme="majorHAnsi" w:eastAsia="Times New Roman" w:hAnsiTheme="majorHAnsi" w:cs="Arial"/>
          <w:lang w:eastAsia="es-ES"/>
        </w:rPr>
      </w:pPr>
      <w:r w:rsidRPr="00AA0A2C">
        <w:rPr>
          <w:rFonts w:asciiTheme="majorHAnsi" w:eastAsia="Times New Roman" w:hAnsiTheme="majorHAnsi" w:cs="Arial"/>
          <w:b/>
          <w:lang w:eastAsia="es-ES"/>
        </w:rPr>
        <w:t>Etapa de pre construcción</w:t>
      </w:r>
      <w:r w:rsidRPr="00AA0A2C">
        <w:rPr>
          <w:rFonts w:asciiTheme="majorHAnsi" w:eastAsia="Times New Roman" w:hAnsiTheme="majorHAnsi" w:cs="Arial"/>
          <w:lang w:eastAsia="es-ES"/>
        </w:rPr>
        <w:t>: Comprende la Compra de Predios, el Montaje de Instalaciones Temporales (campamentos, patios de maquinaria y equipos, zonas de acopio), la Instalación Señalización Preventiva, Excavaciones en área zonas de Rescate Arqueológico y el Cerramiento Temporal de Obra.</w:t>
      </w:r>
    </w:p>
    <w:p w:rsidR="00C635FA" w:rsidRPr="00AA0A2C" w:rsidRDefault="00C635FA" w:rsidP="00C635FA">
      <w:pPr>
        <w:rPr>
          <w:rFonts w:asciiTheme="majorHAnsi" w:eastAsia="Times New Roman" w:hAnsiTheme="majorHAnsi" w:cs="Arial"/>
          <w:lang w:eastAsia="es-ES"/>
        </w:rPr>
      </w:pPr>
    </w:p>
    <w:p w:rsidR="00C635FA" w:rsidRPr="00AA0A2C" w:rsidRDefault="00C635FA" w:rsidP="00C635FA">
      <w:pPr>
        <w:rPr>
          <w:rFonts w:asciiTheme="majorHAnsi" w:eastAsia="Times New Roman" w:hAnsiTheme="majorHAnsi" w:cs="Arial"/>
          <w:lang w:eastAsia="es-ES"/>
        </w:rPr>
      </w:pPr>
      <w:r w:rsidRPr="00AA0A2C">
        <w:rPr>
          <w:rFonts w:asciiTheme="majorHAnsi" w:eastAsia="Times New Roman" w:hAnsiTheme="majorHAnsi" w:cs="Arial"/>
          <w:b/>
          <w:lang w:eastAsia="es-ES"/>
        </w:rPr>
        <w:t>Etapa de Construcción</w:t>
      </w:r>
      <w:r w:rsidRPr="00AA0A2C">
        <w:rPr>
          <w:rFonts w:asciiTheme="majorHAnsi" w:eastAsia="Times New Roman" w:hAnsiTheme="majorHAnsi" w:cs="Arial"/>
          <w:lang w:eastAsia="es-ES"/>
        </w:rPr>
        <w:t xml:space="preserve">: Comprende el Desmonte y Limpieza, Demoliciones, Construcción de Obras Hidráulicas y de Arte, Rellenos, Terraplenes y Compactación, Obras Geotécnicas de Protección de Taludes, Monitoreo zonas de rescate Arqueológico, Conformación de Base y Sub-base, Construcción de Pilotes y Estructuras de Concreto, Imprimación y Pavimentación de la vía, Demarcación y Señalización de la vía, </w:t>
      </w:r>
      <w:r w:rsidR="005748BA" w:rsidRPr="00AA0A2C">
        <w:rPr>
          <w:rFonts w:asciiTheme="majorHAnsi" w:eastAsia="Times New Roman" w:hAnsiTheme="majorHAnsi" w:cs="Arial"/>
          <w:lang w:eastAsia="es-ES"/>
        </w:rPr>
        <w:t>Empradizarían</w:t>
      </w:r>
      <w:r w:rsidRPr="00AA0A2C">
        <w:rPr>
          <w:rFonts w:asciiTheme="majorHAnsi" w:eastAsia="Times New Roman" w:hAnsiTheme="majorHAnsi" w:cs="Arial"/>
          <w:lang w:eastAsia="es-ES"/>
        </w:rPr>
        <w:t>, Acabados y Restauración de Zonas Intervenidas, Manejo y Disposición de Escombros y Materiales, Aseo y Limpieza.</w:t>
      </w:r>
    </w:p>
    <w:p w:rsidR="00C635FA" w:rsidRPr="00AA0A2C" w:rsidRDefault="00C635FA" w:rsidP="00C635FA">
      <w:pPr>
        <w:rPr>
          <w:rFonts w:asciiTheme="majorHAnsi" w:eastAsia="Times New Roman" w:hAnsiTheme="majorHAnsi" w:cs="Arial"/>
          <w:lang w:eastAsia="es-ES"/>
        </w:rPr>
      </w:pPr>
    </w:p>
    <w:p w:rsidR="00C635FA" w:rsidRPr="00AA0A2C" w:rsidRDefault="00C635FA" w:rsidP="00C635FA">
      <w:pPr>
        <w:rPr>
          <w:rFonts w:asciiTheme="majorHAnsi" w:eastAsia="Times New Roman" w:hAnsiTheme="majorHAnsi" w:cs="Arial"/>
          <w:lang w:eastAsia="es-ES"/>
        </w:rPr>
      </w:pPr>
      <w:r w:rsidRPr="00AA0A2C">
        <w:rPr>
          <w:rFonts w:asciiTheme="majorHAnsi" w:eastAsia="Times New Roman" w:hAnsiTheme="majorHAnsi" w:cs="Arial"/>
          <w:b/>
          <w:lang w:eastAsia="es-ES"/>
        </w:rPr>
        <w:t>Etapa de Operación</w:t>
      </w:r>
      <w:r w:rsidRPr="00AA0A2C">
        <w:rPr>
          <w:rFonts w:asciiTheme="majorHAnsi" w:eastAsia="Times New Roman" w:hAnsiTheme="majorHAnsi" w:cs="Arial"/>
          <w:lang w:eastAsia="es-ES"/>
        </w:rPr>
        <w:t xml:space="preserve">: Mantenimiento de la vía </w:t>
      </w:r>
    </w:p>
    <w:p w:rsidR="00C635FA" w:rsidRPr="00AA0A2C" w:rsidRDefault="00C635FA" w:rsidP="00C635FA">
      <w:pPr>
        <w:rPr>
          <w:rFonts w:asciiTheme="majorHAnsi" w:hAnsiTheme="majorHAnsi" w:cs="Arial"/>
          <w:b/>
          <w:lang w:eastAsia="es-ES"/>
        </w:rPr>
      </w:pPr>
      <w:bookmarkStart w:id="89" w:name="_Toc289264668"/>
    </w:p>
    <w:p w:rsidR="00C635FA" w:rsidRPr="00AA0A2C" w:rsidRDefault="00C635FA" w:rsidP="00C635FA">
      <w:pPr>
        <w:rPr>
          <w:rFonts w:asciiTheme="majorHAnsi" w:hAnsiTheme="majorHAnsi" w:cs="Arial"/>
          <w:b/>
          <w:lang w:eastAsia="es-ES"/>
        </w:rPr>
      </w:pPr>
      <w:r w:rsidRPr="00AA0A2C">
        <w:rPr>
          <w:rFonts w:asciiTheme="majorHAnsi" w:hAnsiTheme="majorHAnsi" w:cs="Arial"/>
          <w:b/>
          <w:lang w:eastAsia="es-ES"/>
        </w:rPr>
        <w:t>Duración de las Obras y Cronograma de Actividades</w:t>
      </w:r>
      <w:bookmarkEnd w:id="89"/>
    </w:p>
    <w:p w:rsidR="00C635FA" w:rsidRPr="00AA0A2C" w:rsidRDefault="00C635FA" w:rsidP="00C635FA">
      <w:pPr>
        <w:rPr>
          <w:rFonts w:asciiTheme="majorHAnsi" w:eastAsia="Times New Roman" w:hAnsiTheme="majorHAnsi" w:cs="Arial"/>
          <w:lang w:eastAsia="es-ES"/>
        </w:rPr>
      </w:pPr>
    </w:p>
    <w:p w:rsidR="00C635FA" w:rsidRPr="00AA0A2C" w:rsidRDefault="00C635FA" w:rsidP="00C635FA">
      <w:pPr>
        <w:rPr>
          <w:rFonts w:asciiTheme="majorHAnsi" w:hAnsiTheme="majorHAnsi" w:cs="Arial"/>
        </w:rPr>
      </w:pPr>
      <w:r w:rsidRPr="00AA0A2C">
        <w:rPr>
          <w:rFonts w:asciiTheme="majorHAnsi" w:eastAsia="Times New Roman" w:hAnsiTheme="majorHAnsi" w:cs="Arial"/>
          <w:lang w:eastAsia="es-ES"/>
        </w:rPr>
        <w:t>De acuerdo con los e</w:t>
      </w:r>
      <w:r w:rsidR="00AA0A2C" w:rsidRPr="00AA0A2C">
        <w:rPr>
          <w:rFonts w:asciiTheme="majorHAnsi" w:eastAsia="Times New Roman" w:hAnsiTheme="majorHAnsi" w:cs="Arial"/>
          <w:lang w:eastAsia="es-ES"/>
        </w:rPr>
        <w:t>stimativos para la ejecución de la</w:t>
      </w:r>
      <w:r w:rsidRPr="00AA0A2C">
        <w:rPr>
          <w:rFonts w:asciiTheme="majorHAnsi" w:eastAsia="Times New Roman" w:hAnsiTheme="majorHAnsi" w:cs="Arial"/>
          <w:lang w:eastAsia="es-ES"/>
        </w:rPr>
        <w:t xml:space="preserve"> </w:t>
      </w:r>
      <w:r w:rsidR="005748BA" w:rsidRPr="00AA0A2C">
        <w:rPr>
          <w:rFonts w:asciiTheme="majorHAnsi" w:hAnsiTheme="majorHAnsi"/>
        </w:rPr>
        <w:t>Construcción de la Variante Puerto Berrío en los Departamentos de Antioquia y Santander,</w:t>
      </w:r>
      <w:r w:rsidRPr="00AA0A2C">
        <w:rPr>
          <w:rFonts w:asciiTheme="majorHAnsi" w:eastAsia="Times New Roman" w:hAnsiTheme="majorHAnsi" w:cs="Arial"/>
          <w:lang w:eastAsia="es-ES"/>
        </w:rPr>
        <w:t xml:space="preserve"> se estima que la duración de la etapa de construcción es </w:t>
      </w:r>
      <w:r w:rsidR="005748BA" w:rsidRPr="00AA0A2C">
        <w:rPr>
          <w:rFonts w:asciiTheme="majorHAnsi" w:eastAsia="Times New Roman" w:hAnsiTheme="majorHAnsi" w:cs="Arial"/>
          <w:b/>
          <w:lang w:eastAsia="es-ES"/>
        </w:rPr>
        <w:t>1.008</w:t>
      </w:r>
      <w:r w:rsidRPr="00AA0A2C">
        <w:rPr>
          <w:rFonts w:asciiTheme="majorHAnsi" w:eastAsia="Times New Roman" w:hAnsiTheme="majorHAnsi" w:cs="Arial"/>
          <w:b/>
          <w:lang w:eastAsia="es-ES"/>
        </w:rPr>
        <w:t xml:space="preserve"> días</w:t>
      </w:r>
      <w:r w:rsidRPr="00AA0A2C">
        <w:rPr>
          <w:rFonts w:asciiTheme="majorHAnsi" w:eastAsia="Times New Roman" w:hAnsiTheme="majorHAnsi" w:cs="Arial"/>
          <w:lang w:eastAsia="es-ES"/>
        </w:rPr>
        <w:t xml:space="preserve">, aproximadamente </w:t>
      </w:r>
      <w:r w:rsidR="005748BA" w:rsidRPr="00AA0A2C">
        <w:rPr>
          <w:rFonts w:asciiTheme="majorHAnsi" w:eastAsia="Times New Roman" w:hAnsiTheme="majorHAnsi" w:cs="Arial"/>
          <w:b/>
          <w:lang w:eastAsia="es-ES"/>
        </w:rPr>
        <w:t>36</w:t>
      </w:r>
      <w:r w:rsidRPr="00AA0A2C">
        <w:rPr>
          <w:rFonts w:asciiTheme="majorHAnsi" w:eastAsia="Times New Roman" w:hAnsiTheme="majorHAnsi" w:cs="Arial"/>
          <w:b/>
          <w:lang w:eastAsia="es-ES"/>
        </w:rPr>
        <w:t xml:space="preserve"> meses</w:t>
      </w:r>
      <w:r w:rsidRPr="00AA0A2C">
        <w:rPr>
          <w:rFonts w:asciiTheme="majorHAnsi" w:eastAsia="Times New Roman" w:hAnsiTheme="majorHAnsi" w:cs="Arial"/>
          <w:lang w:eastAsia="es-ES"/>
        </w:rPr>
        <w:t xml:space="preserve">, contados a partir de la obtención de la licencia ambiental y de culminar toda la etapa de pre-construcción. </w:t>
      </w:r>
    </w:p>
    <w:p w:rsidR="00C635FA" w:rsidRPr="00AA0A2C" w:rsidRDefault="00C635FA" w:rsidP="005A3BB2">
      <w:pPr>
        <w:rPr>
          <w:rFonts w:asciiTheme="majorHAnsi" w:hAnsiTheme="majorHAnsi"/>
        </w:rPr>
      </w:pPr>
    </w:p>
    <w:p w:rsidR="005748BA" w:rsidRPr="00AA0A2C" w:rsidRDefault="005748BA" w:rsidP="00AA0A2C">
      <w:pPr>
        <w:pStyle w:val="Ttulo2"/>
      </w:pPr>
      <w:bookmarkStart w:id="90" w:name="_Toc286404700"/>
      <w:bookmarkStart w:id="91" w:name="_Toc357176527"/>
      <w:bookmarkStart w:id="92" w:name="_Toc367786930"/>
      <w:bookmarkStart w:id="93" w:name="_Toc381338346"/>
      <w:r w:rsidRPr="00AA0A2C">
        <w:t xml:space="preserve">ÁREA DE </w:t>
      </w:r>
      <w:bookmarkEnd w:id="90"/>
      <w:bookmarkEnd w:id="91"/>
      <w:bookmarkEnd w:id="92"/>
      <w:bookmarkEnd w:id="93"/>
      <w:r w:rsidRPr="00AA0A2C">
        <w:t>INTERVENCIÓN DEL PROYECTO</w:t>
      </w:r>
    </w:p>
    <w:p w:rsidR="005748BA" w:rsidRPr="00AA0A2C" w:rsidRDefault="005748BA" w:rsidP="005748BA">
      <w:pPr>
        <w:rPr>
          <w:rFonts w:asciiTheme="majorHAnsi" w:eastAsia="Times New Roman" w:hAnsiTheme="majorHAnsi" w:cs="Arial"/>
          <w:lang w:eastAsia="es-ES"/>
        </w:rPr>
      </w:pPr>
    </w:p>
    <w:p w:rsidR="005748BA" w:rsidRPr="00AA0A2C" w:rsidRDefault="005748BA" w:rsidP="005748BA">
      <w:pPr>
        <w:rPr>
          <w:rFonts w:asciiTheme="majorHAnsi" w:eastAsia="Times New Roman" w:hAnsiTheme="majorHAnsi" w:cs="Arial"/>
          <w:lang w:eastAsia="es-ES"/>
        </w:rPr>
      </w:pPr>
      <w:r w:rsidRPr="00AA0A2C">
        <w:rPr>
          <w:rFonts w:asciiTheme="majorHAnsi" w:hAnsiTheme="majorHAnsi" w:cs="Arial"/>
        </w:rPr>
        <w:t xml:space="preserve">El requerimiento para las actividades futuras del Proyecto </w:t>
      </w:r>
      <w:r w:rsidR="00AA0A2C" w:rsidRPr="00AA0A2C">
        <w:rPr>
          <w:rFonts w:asciiTheme="majorHAnsi" w:hAnsiTheme="majorHAnsi"/>
        </w:rPr>
        <w:t>Construcción de la Variante Puerto Berrío en los Departamentos de Antioquia y Santander</w:t>
      </w:r>
      <w:r w:rsidRPr="00AA0A2C">
        <w:rPr>
          <w:rFonts w:asciiTheme="majorHAnsi" w:hAnsiTheme="majorHAnsi" w:cs="Arial"/>
          <w:lang w:val="es-ES_tradnl"/>
        </w:rPr>
        <w:t>,</w:t>
      </w:r>
      <w:r w:rsidRPr="00AA0A2C">
        <w:rPr>
          <w:rFonts w:asciiTheme="majorHAnsi" w:hAnsiTheme="majorHAnsi" w:cs="Arial"/>
        </w:rPr>
        <w:t xml:space="preserve"> comprende un Área de </w:t>
      </w:r>
      <w:r w:rsidR="00AA0A2C" w:rsidRPr="00AA0A2C">
        <w:rPr>
          <w:rFonts w:asciiTheme="majorHAnsi" w:hAnsiTheme="majorHAnsi" w:cs="Arial"/>
        </w:rPr>
        <w:t>intervención</w:t>
      </w:r>
      <w:r w:rsidRPr="00AA0A2C">
        <w:rPr>
          <w:rFonts w:asciiTheme="majorHAnsi" w:hAnsiTheme="majorHAnsi" w:cs="Arial"/>
        </w:rPr>
        <w:t xml:space="preserve"> de </w:t>
      </w:r>
      <w:r w:rsidR="00AA0A2C" w:rsidRPr="00AA0A2C">
        <w:rPr>
          <w:rFonts w:asciiTheme="majorHAnsi" w:hAnsiTheme="majorHAnsi" w:cs="Arial"/>
          <w:b/>
        </w:rPr>
        <w:t>85,45</w:t>
      </w:r>
      <w:r w:rsidRPr="00AA0A2C">
        <w:rPr>
          <w:rFonts w:asciiTheme="majorHAnsi" w:hAnsiTheme="majorHAnsi" w:cs="Arial"/>
        </w:rPr>
        <w:t xml:space="preserve"> </w:t>
      </w:r>
      <w:r w:rsidRPr="00AA0A2C">
        <w:rPr>
          <w:rFonts w:asciiTheme="majorHAnsi" w:hAnsiTheme="majorHAnsi" w:cs="Arial"/>
          <w:b/>
        </w:rPr>
        <w:t>Ha</w:t>
      </w:r>
      <w:r w:rsidRPr="00AA0A2C">
        <w:rPr>
          <w:rFonts w:asciiTheme="majorHAnsi" w:eastAsia="Times New Roman" w:hAnsiTheme="majorHAnsi" w:cs="Arial"/>
          <w:lang w:eastAsia="es-ES"/>
        </w:rPr>
        <w:t xml:space="preserve">. El área de </w:t>
      </w:r>
      <w:r w:rsidR="00AA0A2C" w:rsidRPr="00AA0A2C">
        <w:rPr>
          <w:rFonts w:asciiTheme="majorHAnsi" w:eastAsia="Times New Roman" w:hAnsiTheme="majorHAnsi" w:cs="Arial"/>
          <w:lang w:eastAsia="es-ES"/>
        </w:rPr>
        <w:t>intervención</w:t>
      </w:r>
      <w:r w:rsidRPr="00AA0A2C">
        <w:rPr>
          <w:rFonts w:asciiTheme="majorHAnsi" w:eastAsia="Times New Roman" w:hAnsiTheme="majorHAnsi" w:cs="Arial"/>
          <w:b/>
          <w:lang w:eastAsia="es-ES"/>
        </w:rPr>
        <w:t xml:space="preserve">, </w:t>
      </w:r>
      <w:r w:rsidR="00AA0A2C" w:rsidRPr="00AA0A2C">
        <w:rPr>
          <w:rFonts w:asciiTheme="majorHAnsi" w:eastAsia="Times New Roman" w:hAnsiTheme="majorHAnsi" w:cs="Arial"/>
          <w:lang w:eastAsia="es-ES"/>
        </w:rPr>
        <w:t>está</w:t>
      </w:r>
      <w:r w:rsidRPr="00AA0A2C">
        <w:rPr>
          <w:rFonts w:asciiTheme="majorHAnsi" w:eastAsia="Times New Roman" w:hAnsiTheme="majorHAnsi" w:cs="Arial"/>
          <w:lang w:eastAsia="es-ES"/>
        </w:rPr>
        <w:t xml:space="preserve"> definida por los límites del chaflán previamente identificados y por la franja o zona de exclusión propia de las carreteras del sistema vial nacional que en este caso “se establece que </w:t>
      </w:r>
      <w:r w:rsidR="00AA0A2C" w:rsidRPr="00AA0A2C">
        <w:rPr>
          <w:rFonts w:asciiTheme="majorHAnsi" w:eastAsia="Times New Roman" w:hAnsiTheme="majorHAnsi" w:cs="Arial"/>
          <w:lang w:eastAsia="es-ES"/>
        </w:rPr>
        <w:t>la faja de retiro obligatorio para vías nacionales es</w:t>
      </w:r>
      <w:r w:rsidRPr="00AA0A2C">
        <w:rPr>
          <w:rFonts w:asciiTheme="majorHAnsi" w:eastAsia="Times New Roman" w:hAnsiTheme="majorHAnsi" w:cs="Arial"/>
          <w:lang w:eastAsia="es-ES"/>
        </w:rPr>
        <w:t xml:space="preserve"> de 60 metros, medidos a partir del eje de la vía, 30 metros a cada lado</w:t>
      </w:r>
      <w:r w:rsidRPr="00AA0A2C">
        <w:rPr>
          <w:rFonts w:asciiTheme="majorHAnsi" w:eastAsia="Times New Roman" w:hAnsiTheme="majorHAnsi" w:cs="Arial"/>
          <w:i/>
          <w:lang w:eastAsia="es-ES"/>
        </w:rPr>
        <w:t>”</w:t>
      </w:r>
      <w:r w:rsidRPr="00AA0A2C">
        <w:rPr>
          <w:rFonts w:asciiTheme="majorHAnsi" w:eastAsia="Times New Roman" w:hAnsiTheme="majorHAnsi" w:cs="Arial"/>
          <w:i/>
          <w:vertAlign w:val="superscript"/>
          <w:lang w:eastAsia="es-ES"/>
        </w:rPr>
        <w:footnoteReference w:id="7"/>
      </w:r>
      <w:r w:rsidRPr="00AA0A2C">
        <w:rPr>
          <w:rFonts w:asciiTheme="majorHAnsi" w:eastAsia="Times New Roman" w:hAnsiTheme="majorHAnsi" w:cs="Arial"/>
          <w:lang w:eastAsia="es-ES"/>
        </w:rPr>
        <w:t xml:space="preserve">. En el </w:t>
      </w:r>
      <w:r w:rsidR="00AA0A2C" w:rsidRPr="00AA0A2C">
        <w:rPr>
          <w:rFonts w:asciiTheme="majorHAnsi" w:eastAsia="Times New Roman" w:hAnsiTheme="majorHAnsi" w:cs="Arial"/>
          <w:lang w:eastAsia="es-ES"/>
        </w:rPr>
        <w:t>área de intervención</w:t>
      </w:r>
      <w:r w:rsidRPr="00AA0A2C">
        <w:rPr>
          <w:rFonts w:asciiTheme="majorHAnsi" w:eastAsia="Times New Roman" w:hAnsiTheme="majorHAnsi" w:cs="Arial"/>
          <w:lang w:eastAsia="es-ES"/>
        </w:rPr>
        <w:t xml:space="preserve"> se ven afectados los recursos naturales como es el caso de las fuentes de agua que cruza el proyecto y que se describen más adelante, así como el suelo, flora y fauna que se encuentra en este sector. </w:t>
      </w:r>
      <w:r w:rsidRPr="00AA0A2C">
        <w:rPr>
          <w:rFonts w:asciiTheme="majorHAnsi" w:hAnsiTheme="majorHAnsi" w:cs="Arial"/>
        </w:rPr>
        <w:t xml:space="preserve">Se pudo establecer que la </w:t>
      </w:r>
      <w:r w:rsidR="00AA0A2C" w:rsidRPr="00AA0A2C">
        <w:rPr>
          <w:rFonts w:asciiTheme="majorHAnsi" w:hAnsiTheme="majorHAnsi"/>
        </w:rPr>
        <w:t>Construcción de la Variante Puerto Berrío en los Departamentos de Antioquia y Santander</w:t>
      </w:r>
      <w:r w:rsidR="00AA0A2C" w:rsidRPr="00AA0A2C">
        <w:rPr>
          <w:rFonts w:asciiTheme="majorHAnsi" w:hAnsiTheme="majorHAnsi" w:cs="Arial"/>
        </w:rPr>
        <w:t xml:space="preserve"> no afecta</w:t>
      </w:r>
      <w:r w:rsidRPr="00AA0A2C">
        <w:rPr>
          <w:rFonts w:asciiTheme="majorHAnsi" w:hAnsiTheme="majorHAnsi" w:cs="Arial"/>
        </w:rPr>
        <w:t xml:space="preserve"> tierras de resguardos o comunidades afro colombianas</w:t>
      </w:r>
      <w:r w:rsidRPr="00AA0A2C">
        <w:rPr>
          <w:rFonts w:asciiTheme="majorHAnsi" w:eastAsia="Times New Roman" w:hAnsiTheme="majorHAnsi" w:cs="Arial"/>
          <w:lang w:eastAsia="es-ES"/>
        </w:rPr>
        <w:t>.</w:t>
      </w:r>
    </w:p>
    <w:p w:rsidR="005748BA" w:rsidRPr="00AA0A2C" w:rsidRDefault="005748BA" w:rsidP="005748BA">
      <w:pPr>
        <w:rPr>
          <w:rFonts w:asciiTheme="majorHAnsi" w:eastAsia="Times New Roman" w:hAnsiTheme="majorHAnsi" w:cs="Arial"/>
          <w:lang w:eastAsia="es-ES"/>
        </w:rPr>
      </w:pPr>
    </w:p>
    <w:p w:rsidR="005748BA" w:rsidRPr="00AA0A2C" w:rsidRDefault="005748BA" w:rsidP="005748BA">
      <w:pPr>
        <w:rPr>
          <w:rFonts w:asciiTheme="majorHAnsi" w:hAnsiTheme="majorHAnsi" w:cs="Arial"/>
        </w:rPr>
      </w:pPr>
      <w:r w:rsidRPr="00AA0A2C">
        <w:rPr>
          <w:rFonts w:asciiTheme="majorHAnsi" w:hAnsiTheme="majorHAnsi" w:cs="Arial"/>
        </w:rPr>
        <w:t xml:space="preserve">Para efectos de la evaluación económica de los costos y beneficios ambientales se aplicaron las metodologías y los parámetros definidos por la Consultoría a las coberturas de diseño. </w:t>
      </w:r>
      <w:r w:rsidRPr="00AA0A2C">
        <w:rPr>
          <w:rFonts w:asciiTheme="majorHAnsi" w:hAnsiTheme="majorHAnsi"/>
        </w:rPr>
        <w:t xml:space="preserve">Para el proyecto </w:t>
      </w:r>
      <w:r w:rsidR="00AA0A2C" w:rsidRPr="00AA0A2C">
        <w:rPr>
          <w:rFonts w:asciiTheme="majorHAnsi" w:hAnsiTheme="majorHAnsi"/>
        </w:rPr>
        <w:t>Construcción de la Variante Puerto Berrío en los Departamentos de Antioquia y Santander, se presenta</w:t>
      </w:r>
      <w:r w:rsidRPr="00AA0A2C">
        <w:rPr>
          <w:rFonts w:asciiTheme="majorHAnsi" w:hAnsiTheme="majorHAnsi"/>
        </w:rPr>
        <w:t xml:space="preserve"> en la </w:t>
      </w:r>
      <w:r w:rsidR="00AA0A2C" w:rsidRPr="00AA0A2C">
        <w:rPr>
          <w:rFonts w:asciiTheme="majorHAnsi" w:hAnsiTheme="majorHAnsi" w:cs="Arial"/>
        </w:rPr>
        <w:t>siguiente Tabla</w:t>
      </w:r>
      <w:r w:rsidRPr="00AA0A2C">
        <w:rPr>
          <w:rFonts w:asciiTheme="majorHAnsi" w:hAnsiTheme="majorHAnsi" w:cs="Arial"/>
        </w:rPr>
        <w:t xml:space="preserve"> </w:t>
      </w:r>
      <w:r w:rsidR="00AA0A2C" w:rsidRPr="00AA0A2C">
        <w:rPr>
          <w:rFonts w:asciiTheme="majorHAnsi" w:hAnsiTheme="majorHAnsi"/>
        </w:rPr>
        <w:t>la cobertura</w:t>
      </w:r>
      <w:r w:rsidRPr="00AA0A2C">
        <w:rPr>
          <w:rFonts w:asciiTheme="majorHAnsi" w:hAnsiTheme="majorHAnsi"/>
        </w:rPr>
        <w:t xml:space="preserve"> del Corredor vial.</w:t>
      </w:r>
    </w:p>
    <w:p w:rsidR="005748BA" w:rsidRPr="00AA0A2C" w:rsidRDefault="005748BA" w:rsidP="005748BA">
      <w:pPr>
        <w:rPr>
          <w:rFonts w:asciiTheme="majorHAnsi" w:hAnsiTheme="majorHAnsi"/>
        </w:rPr>
      </w:pPr>
    </w:p>
    <w:p w:rsidR="00AA0A2C" w:rsidRPr="00AA0A2C" w:rsidRDefault="00AA0A2C" w:rsidP="00AA0A2C">
      <w:pPr>
        <w:pStyle w:val="Tablas"/>
        <w:rPr>
          <w:rFonts w:asciiTheme="majorHAnsi" w:hAnsiTheme="majorHAnsi"/>
        </w:rPr>
      </w:pPr>
      <w:r w:rsidRPr="00AA0A2C">
        <w:rPr>
          <w:rFonts w:asciiTheme="majorHAnsi" w:hAnsiTheme="majorHAnsi"/>
        </w:rPr>
        <w:t xml:space="preserve">Tabla </w:t>
      </w:r>
      <w:r w:rsidR="006D0D6E">
        <w:rPr>
          <w:rFonts w:asciiTheme="majorHAnsi" w:hAnsiTheme="majorHAnsi"/>
        </w:rPr>
        <w:fldChar w:fldCharType="begin"/>
      </w:r>
      <w:r w:rsidR="006D0D6E">
        <w:rPr>
          <w:rFonts w:asciiTheme="majorHAnsi" w:hAnsiTheme="majorHAnsi"/>
        </w:rPr>
        <w:instrText xml:space="preserve"> STYLEREF 1 \s </w:instrText>
      </w:r>
      <w:r w:rsidR="006D0D6E">
        <w:rPr>
          <w:rFonts w:asciiTheme="majorHAnsi" w:hAnsiTheme="majorHAnsi"/>
        </w:rPr>
        <w:fldChar w:fldCharType="separate"/>
      </w:r>
      <w:r w:rsidR="006D0D6E">
        <w:rPr>
          <w:rFonts w:asciiTheme="majorHAnsi" w:hAnsiTheme="majorHAnsi"/>
          <w:noProof/>
        </w:rPr>
        <w:t>10</w:t>
      </w:r>
      <w:r w:rsidR="006D0D6E">
        <w:rPr>
          <w:rFonts w:asciiTheme="majorHAnsi" w:hAnsiTheme="majorHAnsi"/>
        </w:rPr>
        <w:fldChar w:fldCharType="end"/>
      </w:r>
      <w:r w:rsidR="006D0D6E">
        <w:rPr>
          <w:rFonts w:asciiTheme="majorHAnsi" w:hAnsiTheme="majorHAnsi"/>
        </w:rPr>
        <w:t>.</w:t>
      </w:r>
      <w:r w:rsidR="006D0D6E">
        <w:rPr>
          <w:rFonts w:asciiTheme="majorHAnsi" w:hAnsiTheme="majorHAnsi"/>
        </w:rPr>
        <w:fldChar w:fldCharType="begin"/>
      </w:r>
      <w:r w:rsidR="006D0D6E">
        <w:rPr>
          <w:rFonts w:asciiTheme="majorHAnsi" w:hAnsiTheme="majorHAnsi"/>
        </w:rPr>
        <w:instrText xml:space="preserve"> SEQ Tabla \* ARABIC \s 1 </w:instrText>
      </w:r>
      <w:r w:rsidR="006D0D6E">
        <w:rPr>
          <w:rFonts w:asciiTheme="majorHAnsi" w:hAnsiTheme="majorHAnsi"/>
        </w:rPr>
        <w:fldChar w:fldCharType="separate"/>
      </w:r>
      <w:r w:rsidR="006D0D6E">
        <w:rPr>
          <w:rFonts w:asciiTheme="majorHAnsi" w:hAnsiTheme="majorHAnsi"/>
          <w:noProof/>
        </w:rPr>
        <w:t>6</w:t>
      </w:r>
      <w:r w:rsidR="006D0D6E">
        <w:rPr>
          <w:rFonts w:asciiTheme="majorHAnsi" w:hAnsiTheme="majorHAnsi"/>
        </w:rPr>
        <w:fldChar w:fldCharType="end"/>
      </w:r>
      <w:r w:rsidRPr="00AA0A2C">
        <w:rPr>
          <w:rFonts w:asciiTheme="majorHAnsi" w:hAnsiTheme="majorHAnsi"/>
        </w:rPr>
        <w:t xml:space="preserve"> Coberturas en el Corredor Vial</w:t>
      </w:r>
    </w:p>
    <w:tbl>
      <w:tblPr>
        <w:tblStyle w:val="Gminis"/>
        <w:tblW w:w="5000" w:type="pct"/>
        <w:tblLayout w:type="fixed"/>
        <w:tblLook w:val="04A0" w:firstRow="1" w:lastRow="0" w:firstColumn="1" w:lastColumn="0" w:noHBand="0" w:noVBand="1"/>
      </w:tblPr>
      <w:tblGrid>
        <w:gridCol w:w="2984"/>
        <w:gridCol w:w="1269"/>
        <w:gridCol w:w="1077"/>
        <w:gridCol w:w="618"/>
        <w:gridCol w:w="1161"/>
        <w:gridCol w:w="1152"/>
      </w:tblGrid>
      <w:tr w:rsidR="00AA0A2C" w:rsidRPr="00AA0A2C" w:rsidTr="00AA0A2C">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gridSpan w:val="6"/>
            <w:tcBorders>
              <w:top w:val="none" w:sz="0" w:space="0" w:color="auto"/>
              <w:left w:val="none" w:sz="0" w:space="0" w:color="auto"/>
              <w:bottom w:val="none" w:sz="0" w:space="0" w:color="auto"/>
              <w:right w:val="none" w:sz="0" w:space="0" w:color="auto"/>
            </w:tcBorders>
            <w:shd w:val="clear" w:color="auto" w:fill="BFBFBF" w:themeFill="background1" w:themeFillShade="BF"/>
            <w:noWrap/>
            <w:vAlign w:val="center"/>
            <w:hideMark/>
          </w:tcPr>
          <w:p w:rsidR="00AA0A2C" w:rsidRPr="00AA0A2C" w:rsidRDefault="00AA0A2C" w:rsidP="00AA0A2C">
            <w:pPr>
              <w:spacing w:line="240" w:lineRule="auto"/>
              <w:contextualSpacing w:val="0"/>
              <w:jc w:val="center"/>
              <w:rPr>
                <w:rFonts w:asciiTheme="majorHAnsi" w:eastAsia="Times New Roman" w:hAnsiTheme="majorHAnsi"/>
                <w:bCs/>
                <w:color w:val="000000"/>
                <w:sz w:val="18"/>
                <w:szCs w:val="18"/>
                <w:lang w:eastAsia="es-CO"/>
              </w:rPr>
            </w:pPr>
            <w:r w:rsidRPr="00AA0A2C">
              <w:rPr>
                <w:rFonts w:asciiTheme="majorHAnsi" w:eastAsia="Times New Roman" w:hAnsiTheme="majorHAnsi"/>
                <w:bCs/>
                <w:color w:val="000000"/>
                <w:sz w:val="18"/>
                <w:szCs w:val="18"/>
                <w:lang w:eastAsia="es-CO"/>
              </w:rPr>
              <w:t>COBERTURAS CORREDOR VIAL</w:t>
            </w:r>
          </w:p>
        </w:tc>
      </w:tr>
      <w:tr w:rsidR="00AA0A2C" w:rsidRPr="00AA0A2C" w:rsidTr="00AA0A2C">
        <w:trPr>
          <w:trHeight w:val="20"/>
        </w:trPr>
        <w:tc>
          <w:tcPr>
            <w:cnfStyle w:val="001000000000" w:firstRow="0" w:lastRow="0" w:firstColumn="1" w:lastColumn="0" w:oddVBand="0" w:evenVBand="0" w:oddHBand="0" w:evenHBand="0" w:firstRowFirstColumn="0" w:firstRowLastColumn="0" w:lastRowFirstColumn="0" w:lastRowLastColumn="0"/>
            <w:tcW w:w="1806" w:type="pct"/>
            <w:vMerge w:val="restart"/>
            <w:tcBorders>
              <w:left w:val="none" w:sz="0" w:space="0" w:color="auto"/>
            </w:tcBorders>
            <w:shd w:val="clear" w:color="auto" w:fill="BFBFBF" w:themeFill="background1" w:themeFillShade="BF"/>
            <w:noWrap/>
            <w:vAlign w:val="center"/>
            <w:hideMark/>
          </w:tcPr>
          <w:p w:rsidR="00AA0A2C" w:rsidRPr="00AA0A2C" w:rsidRDefault="00AA0A2C" w:rsidP="00AA0A2C">
            <w:pPr>
              <w:spacing w:line="240" w:lineRule="auto"/>
              <w:contextualSpacing w:val="0"/>
              <w:jc w:val="center"/>
              <w:rPr>
                <w:rFonts w:asciiTheme="majorHAnsi" w:eastAsia="Times New Roman" w:hAnsiTheme="majorHAnsi"/>
                <w:b/>
                <w:bCs/>
                <w:color w:val="000000"/>
                <w:sz w:val="18"/>
                <w:szCs w:val="18"/>
                <w:lang w:eastAsia="es-CO"/>
              </w:rPr>
            </w:pPr>
            <w:r w:rsidRPr="00AA0A2C">
              <w:rPr>
                <w:rFonts w:asciiTheme="majorHAnsi" w:eastAsia="Times New Roman" w:hAnsiTheme="majorHAnsi"/>
                <w:b/>
                <w:bCs/>
                <w:color w:val="000000"/>
                <w:sz w:val="18"/>
                <w:szCs w:val="18"/>
                <w:lang w:eastAsia="es-CO"/>
              </w:rPr>
              <w:t>COBERTURA</w:t>
            </w:r>
          </w:p>
        </w:tc>
        <w:tc>
          <w:tcPr>
            <w:tcW w:w="768" w:type="pct"/>
            <w:vMerge w:val="restart"/>
            <w:shd w:val="clear" w:color="auto" w:fill="BFBFBF" w:themeFill="background1" w:themeFillShade="BF"/>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000000"/>
                <w:sz w:val="18"/>
                <w:szCs w:val="18"/>
                <w:lang w:eastAsia="es-CO"/>
              </w:rPr>
            </w:pPr>
            <w:r w:rsidRPr="00AA0A2C">
              <w:rPr>
                <w:rFonts w:asciiTheme="majorHAnsi" w:eastAsia="Times New Roman" w:hAnsiTheme="majorHAnsi"/>
                <w:b/>
                <w:bCs/>
                <w:color w:val="000000"/>
                <w:sz w:val="18"/>
                <w:szCs w:val="18"/>
                <w:lang w:eastAsia="es-CO"/>
              </w:rPr>
              <w:t>CÓD.</w:t>
            </w:r>
          </w:p>
        </w:tc>
        <w:tc>
          <w:tcPr>
            <w:tcW w:w="1025" w:type="pct"/>
            <w:gridSpan w:val="2"/>
            <w:shd w:val="clear" w:color="auto" w:fill="BFBFBF" w:themeFill="background1" w:themeFillShade="BF"/>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000000"/>
                <w:sz w:val="18"/>
                <w:szCs w:val="18"/>
                <w:lang w:eastAsia="es-CO"/>
              </w:rPr>
            </w:pPr>
            <w:r w:rsidRPr="00AA0A2C">
              <w:rPr>
                <w:rFonts w:asciiTheme="majorHAnsi" w:eastAsia="Times New Roman" w:hAnsiTheme="majorHAnsi"/>
                <w:b/>
                <w:bCs/>
                <w:color w:val="000000"/>
                <w:sz w:val="18"/>
                <w:szCs w:val="18"/>
                <w:lang w:eastAsia="es-CO"/>
              </w:rPr>
              <w:t>ÁREA DE INFLUENCIA</w:t>
            </w:r>
          </w:p>
        </w:tc>
        <w:tc>
          <w:tcPr>
            <w:tcW w:w="1401" w:type="pct"/>
            <w:gridSpan w:val="2"/>
            <w:shd w:val="clear" w:color="auto" w:fill="BFBFBF" w:themeFill="background1" w:themeFillShade="BF"/>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000000"/>
                <w:sz w:val="18"/>
                <w:szCs w:val="18"/>
                <w:lang w:eastAsia="es-CO"/>
              </w:rPr>
            </w:pPr>
            <w:r w:rsidRPr="00AA0A2C">
              <w:rPr>
                <w:rFonts w:asciiTheme="majorHAnsi" w:eastAsia="Times New Roman" w:hAnsiTheme="majorHAnsi"/>
                <w:b/>
                <w:bCs/>
                <w:color w:val="000000"/>
                <w:sz w:val="18"/>
                <w:szCs w:val="18"/>
                <w:lang w:eastAsia="es-CO"/>
              </w:rPr>
              <w:t>ÁREA PUNTUAL DE INTERVENCIÓN</w:t>
            </w:r>
          </w:p>
        </w:tc>
      </w:tr>
      <w:tr w:rsidR="00AA0A2C" w:rsidRPr="00AA0A2C" w:rsidTr="00AA0A2C">
        <w:trPr>
          <w:trHeight w:val="20"/>
        </w:trPr>
        <w:tc>
          <w:tcPr>
            <w:cnfStyle w:val="001000000000" w:firstRow="0" w:lastRow="0" w:firstColumn="1" w:lastColumn="0" w:oddVBand="0" w:evenVBand="0" w:oddHBand="0" w:evenHBand="0" w:firstRowFirstColumn="0" w:firstRowLastColumn="0" w:lastRowFirstColumn="0" w:lastRowLastColumn="0"/>
            <w:tcW w:w="1806" w:type="pct"/>
            <w:vMerge/>
            <w:tcBorders>
              <w:left w:val="none" w:sz="0" w:space="0" w:color="auto"/>
            </w:tcBorders>
            <w:shd w:val="clear" w:color="auto" w:fill="BFBFBF" w:themeFill="background1" w:themeFillShade="BF"/>
            <w:vAlign w:val="center"/>
            <w:hideMark/>
          </w:tcPr>
          <w:p w:rsidR="00AA0A2C" w:rsidRPr="00AA0A2C" w:rsidRDefault="00AA0A2C" w:rsidP="00AA0A2C">
            <w:pPr>
              <w:spacing w:line="240" w:lineRule="auto"/>
              <w:contextualSpacing w:val="0"/>
              <w:jc w:val="center"/>
              <w:rPr>
                <w:rFonts w:asciiTheme="majorHAnsi" w:eastAsia="Times New Roman" w:hAnsiTheme="majorHAnsi"/>
                <w:b/>
                <w:bCs/>
                <w:color w:val="000000"/>
                <w:sz w:val="18"/>
                <w:szCs w:val="18"/>
                <w:lang w:eastAsia="es-CO"/>
              </w:rPr>
            </w:pPr>
          </w:p>
        </w:tc>
        <w:tc>
          <w:tcPr>
            <w:tcW w:w="768" w:type="pct"/>
            <w:vMerge/>
            <w:shd w:val="clear" w:color="auto" w:fill="BFBFBF" w:themeFill="background1" w:themeFillShade="BF"/>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000000"/>
                <w:sz w:val="18"/>
                <w:szCs w:val="18"/>
                <w:lang w:eastAsia="es-CO"/>
              </w:rPr>
            </w:pPr>
          </w:p>
        </w:tc>
        <w:tc>
          <w:tcPr>
            <w:tcW w:w="652" w:type="pct"/>
            <w:shd w:val="clear" w:color="auto" w:fill="BFBFBF" w:themeFill="background1" w:themeFillShade="BF"/>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000000"/>
                <w:sz w:val="18"/>
                <w:szCs w:val="18"/>
                <w:lang w:eastAsia="es-CO"/>
              </w:rPr>
            </w:pPr>
            <w:r w:rsidRPr="00AA0A2C">
              <w:rPr>
                <w:rFonts w:asciiTheme="majorHAnsi" w:eastAsia="Times New Roman" w:hAnsiTheme="majorHAnsi"/>
                <w:b/>
                <w:bCs/>
                <w:color w:val="000000"/>
                <w:sz w:val="18"/>
                <w:szCs w:val="18"/>
                <w:lang w:eastAsia="es-CO"/>
              </w:rPr>
              <w:t xml:space="preserve"> (Ha)</w:t>
            </w:r>
          </w:p>
        </w:tc>
        <w:tc>
          <w:tcPr>
            <w:tcW w:w="374" w:type="pct"/>
            <w:shd w:val="clear" w:color="auto" w:fill="BFBFBF" w:themeFill="background1" w:themeFillShade="BF"/>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000000"/>
                <w:sz w:val="18"/>
                <w:szCs w:val="18"/>
                <w:lang w:eastAsia="es-CO"/>
              </w:rPr>
            </w:pPr>
            <w:r w:rsidRPr="00AA0A2C">
              <w:rPr>
                <w:rFonts w:asciiTheme="majorHAnsi" w:eastAsia="Times New Roman" w:hAnsiTheme="majorHAnsi"/>
                <w:b/>
                <w:bCs/>
                <w:color w:val="000000"/>
                <w:sz w:val="18"/>
                <w:szCs w:val="18"/>
                <w:lang w:eastAsia="es-CO"/>
              </w:rPr>
              <w:t>%</w:t>
            </w:r>
          </w:p>
        </w:tc>
        <w:tc>
          <w:tcPr>
            <w:tcW w:w="703" w:type="pct"/>
            <w:shd w:val="clear" w:color="auto" w:fill="BFBFBF" w:themeFill="background1" w:themeFillShade="BF"/>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000000"/>
                <w:sz w:val="18"/>
                <w:szCs w:val="18"/>
                <w:lang w:eastAsia="es-CO"/>
              </w:rPr>
            </w:pPr>
            <w:r w:rsidRPr="00AA0A2C">
              <w:rPr>
                <w:rFonts w:asciiTheme="majorHAnsi" w:eastAsia="Times New Roman" w:hAnsiTheme="majorHAnsi"/>
                <w:b/>
                <w:bCs/>
                <w:color w:val="000000"/>
                <w:sz w:val="18"/>
                <w:szCs w:val="18"/>
                <w:lang w:eastAsia="es-CO"/>
              </w:rPr>
              <w:t xml:space="preserve"> (Ha)</w:t>
            </w:r>
          </w:p>
        </w:tc>
        <w:tc>
          <w:tcPr>
            <w:tcW w:w="698" w:type="pct"/>
            <w:shd w:val="clear" w:color="auto" w:fill="BFBFBF" w:themeFill="background1" w:themeFillShade="BF"/>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000000"/>
                <w:sz w:val="18"/>
                <w:szCs w:val="18"/>
                <w:lang w:eastAsia="es-CO"/>
              </w:rPr>
            </w:pPr>
            <w:r w:rsidRPr="00AA0A2C">
              <w:rPr>
                <w:rFonts w:asciiTheme="majorHAnsi" w:eastAsia="Times New Roman" w:hAnsiTheme="majorHAnsi"/>
                <w:b/>
                <w:bCs/>
                <w:color w:val="000000"/>
                <w:sz w:val="18"/>
                <w:szCs w:val="18"/>
                <w:lang w:eastAsia="es-CO"/>
              </w:rPr>
              <w:t>%</w:t>
            </w:r>
          </w:p>
        </w:tc>
      </w:tr>
      <w:tr w:rsidR="00AA0A2C" w:rsidRPr="00AA0A2C" w:rsidTr="00AA0A2C">
        <w:trPr>
          <w:trHeight w:val="20"/>
        </w:trPr>
        <w:tc>
          <w:tcPr>
            <w:cnfStyle w:val="001000000000" w:firstRow="0" w:lastRow="0" w:firstColumn="1" w:lastColumn="0" w:oddVBand="0" w:evenVBand="0" w:oddHBand="0" w:evenHBand="0" w:firstRowFirstColumn="0" w:firstRowLastColumn="0" w:lastRowFirstColumn="0" w:lastRowLastColumn="0"/>
            <w:tcW w:w="1806" w:type="pct"/>
            <w:tcBorders>
              <w:left w:val="none" w:sz="0" w:space="0" w:color="auto"/>
            </w:tcBorders>
            <w:noWrap/>
            <w:vAlign w:val="center"/>
            <w:hideMark/>
          </w:tcPr>
          <w:p w:rsidR="00AA0A2C" w:rsidRPr="00AA0A2C" w:rsidRDefault="00AA0A2C" w:rsidP="00AA0A2C">
            <w:pPr>
              <w:spacing w:line="240" w:lineRule="auto"/>
              <w:contextualSpacing w:val="0"/>
              <w:jc w:val="center"/>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Tejido urbano continuo</w:t>
            </w:r>
          </w:p>
        </w:tc>
        <w:tc>
          <w:tcPr>
            <w:tcW w:w="768"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111</w:t>
            </w:r>
          </w:p>
        </w:tc>
        <w:tc>
          <w:tcPr>
            <w:tcW w:w="652"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 xml:space="preserve">26,7 </w:t>
            </w:r>
          </w:p>
        </w:tc>
        <w:tc>
          <w:tcPr>
            <w:tcW w:w="374"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0,8</w:t>
            </w:r>
          </w:p>
        </w:tc>
        <w:tc>
          <w:tcPr>
            <w:tcW w:w="703"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0,0</w:t>
            </w:r>
          </w:p>
        </w:tc>
        <w:tc>
          <w:tcPr>
            <w:tcW w:w="698"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0,0</w:t>
            </w:r>
          </w:p>
        </w:tc>
      </w:tr>
      <w:tr w:rsidR="00AA0A2C" w:rsidRPr="00AA0A2C" w:rsidTr="00AA0A2C">
        <w:trPr>
          <w:trHeight w:val="20"/>
        </w:trPr>
        <w:tc>
          <w:tcPr>
            <w:cnfStyle w:val="001000000000" w:firstRow="0" w:lastRow="0" w:firstColumn="1" w:lastColumn="0" w:oddVBand="0" w:evenVBand="0" w:oddHBand="0" w:evenHBand="0" w:firstRowFirstColumn="0" w:firstRowLastColumn="0" w:lastRowFirstColumn="0" w:lastRowLastColumn="0"/>
            <w:tcW w:w="1806" w:type="pct"/>
            <w:tcBorders>
              <w:left w:val="none" w:sz="0" w:space="0" w:color="auto"/>
            </w:tcBorders>
            <w:noWrap/>
            <w:vAlign w:val="center"/>
            <w:hideMark/>
          </w:tcPr>
          <w:p w:rsidR="00AA0A2C" w:rsidRPr="00AA0A2C" w:rsidRDefault="00AA0A2C" w:rsidP="00AA0A2C">
            <w:pPr>
              <w:spacing w:line="240" w:lineRule="auto"/>
              <w:contextualSpacing w:val="0"/>
              <w:jc w:val="center"/>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Tejido urbano discontinuo</w:t>
            </w:r>
          </w:p>
        </w:tc>
        <w:tc>
          <w:tcPr>
            <w:tcW w:w="768"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112</w:t>
            </w:r>
          </w:p>
        </w:tc>
        <w:tc>
          <w:tcPr>
            <w:tcW w:w="652"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 xml:space="preserve"> 8,2 </w:t>
            </w:r>
          </w:p>
        </w:tc>
        <w:tc>
          <w:tcPr>
            <w:tcW w:w="374"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0,2</w:t>
            </w:r>
          </w:p>
        </w:tc>
        <w:tc>
          <w:tcPr>
            <w:tcW w:w="703"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0,06</w:t>
            </w:r>
          </w:p>
        </w:tc>
        <w:tc>
          <w:tcPr>
            <w:tcW w:w="698"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0,07</w:t>
            </w:r>
          </w:p>
        </w:tc>
      </w:tr>
      <w:tr w:rsidR="00AA0A2C" w:rsidRPr="00AA0A2C" w:rsidTr="00AA0A2C">
        <w:trPr>
          <w:trHeight w:val="20"/>
        </w:trPr>
        <w:tc>
          <w:tcPr>
            <w:cnfStyle w:val="001000000000" w:firstRow="0" w:lastRow="0" w:firstColumn="1" w:lastColumn="0" w:oddVBand="0" w:evenVBand="0" w:oddHBand="0" w:evenHBand="0" w:firstRowFirstColumn="0" w:firstRowLastColumn="0" w:lastRowFirstColumn="0" w:lastRowLastColumn="0"/>
            <w:tcW w:w="1806" w:type="pct"/>
            <w:tcBorders>
              <w:left w:val="none" w:sz="0" w:space="0" w:color="auto"/>
            </w:tcBorders>
            <w:noWrap/>
            <w:vAlign w:val="center"/>
            <w:hideMark/>
          </w:tcPr>
          <w:p w:rsidR="00AA0A2C" w:rsidRPr="00AA0A2C" w:rsidRDefault="00AA0A2C" w:rsidP="00AA0A2C">
            <w:pPr>
              <w:spacing w:line="240" w:lineRule="auto"/>
              <w:contextualSpacing w:val="0"/>
              <w:jc w:val="center"/>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Red vial, ferroviaria y terrenos asociados</w:t>
            </w:r>
          </w:p>
        </w:tc>
        <w:tc>
          <w:tcPr>
            <w:tcW w:w="768"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122</w:t>
            </w:r>
          </w:p>
        </w:tc>
        <w:tc>
          <w:tcPr>
            <w:tcW w:w="652"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 xml:space="preserve">43,1 </w:t>
            </w:r>
          </w:p>
        </w:tc>
        <w:tc>
          <w:tcPr>
            <w:tcW w:w="374"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1,3</w:t>
            </w:r>
          </w:p>
        </w:tc>
        <w:tc>
          <w:tcPr>
            <w:tcW w:w="703"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31,65</w:t>
            </w:r>
          </w:p>
        </w:tc>
        <w:tc>
          <w:tcPr>
            <w:tcW w:w="698"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37,04</w:t>
            </w:r>
          </w:p>
        </w:tc>
      </w:tr>
      <w:tr w:rsidR="00AA0A2C" w:rsidRPr="00AA0A2C" w:rsidTr="00AA0A2C">
        <w:trPr>
          <w:trHeight w:val="20"/>
        </w:trPr>
        <w:tc>
          <w:tcPr>
            <w:cnfStyle w:val="001000000000" w:firstRow="0" w:lastRow="0" w:firstColumn="1" w:lastColumn="0" w:oddVBand="0" w:evenVBand="0" w:oddHBand="0" w:evenHBand="0" w:firstRowFirstColumn="0" w:firstRowLastColumn="0" w:lastRowFirstColumn="0" w:lastRowLastColumn="0"/>
            <w:tcW w:w="1806" w:type="pct"/>
            <w:tcBorders>
              <w:left w:val="none" w:sz="0" w:space="0" w:color="auto"/>
            </w:tcBorders>
            <w:noWrap/>
            <w:vAlign w:val="center"/>
            <w:hideMark/>
          </w:tcPr>
          <w:p w:rsidR="00AA0A2C" w:rsidRPr="00AA0A2C" w:rsidRDefault="00AA0A2C" w:rsidP="00AA0A2C">
            <w:pPr>
              <w:spacing w:line="240" w:lineRule="auto"/>
              <w:contextualSpacing w:val="0"/>
              <w:jc w:val="center"/>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Pastos limpios</w:t>
            </w:r>
          </w:p>
        </w:tc>
        <w:tc>
          <w:tcPr>
            <w:tcW w:w="768"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231</w:t>
            </w:r>
          </w:p>
        </w:tc>
        <w:tc>
          <w:tcPr>
            <w:tcW w:w="652"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 xml:space="preserve">1.886,5 </w:t>
            </w:r>
          </w:p>
        </w:tc>
        <w:tc>
          <w:tcPr>
            <w:tcW w:w="374"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56,1</w:t>
            </w:r>
          </w:p>
        </w:tc>
        <w:tc>
          <w:tcPr>
            <w:tcW w:w="703"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38,15</w:t>
            </w:r>
          </w:p>
        </w:tc>
        <w:tc>
          <w:tcPr>
            <w:tcW w:w="698"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44,65</w:t>
            </w:r>
          </w:p>
        </w:tc>
      </w:tr>
      <w:tr w:rsidR="00AA0A2C" w:rsidRPr="00AA0A2C" w:rsidTr="00AA0A2C">
        <w:trPr>
          <w:trHeight w:val="20"/>
        </w:trPr>
        <w:tc>
          <w:tcPr>
            <w:cnfStyle w:val="001000000000" w:firstRow="0" w:lastRow="0" w:firstColumn="1" w:lastColumn="0" w:oddVBand="0" w:evenVBand="0" w:oddHBand="0" w:evenHBand="0" w:firstRowFirstColumn="0" w:firstRowLastColumn="0" w:lastRowFirstColumn="0" w:lastRowLastColumn="0"/>
            <w:tcW w:w="1806" w:type="pct"/>
            <w:tcBorders>
              <w:left w:val="none" w:sz="0" w:space="0" w:color="auto"/>
            </w:tcBorders>
            <w:noWrap/>
            <w:vAlign w:val="center"/>
            <w:hideMark/>
          </w:tcPr>
          <w:p w:rsidR="00AA0A2C" w:rsidRPr="00AA0A2C" w:rsidRDefault="00AA0A2C" w:rsidP="00AA0A2C">
            <w:pPr>
              <w:spacing w:line="240" w:lineRule="auto"/>
              <w:contextualSpacing w:val="0"/>
              <w:jc w:val="center"/>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Pastos arbolados</w:t>
            </w:r>
          </w:p>
        </w:tc>
        <w:tc>
          <w:tcPr>
            <w:tcW w:w="768"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232</w:t>
            </w:r>
          </w:p>
        </w:tc>
        <w:tc>
          <w:tcPr>
            <w:tcW w:w="652"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 xml:space="preserve">375,4 </w:t>
            </w:r>
          </w:p>
        </w:tc>
        <w:tc>
          <w:tcPr>
            <w:tcW w:w="374"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11,2</w:t>
            </w:r>
          </w:p>
        </w:tc>
        <w:tc>
          <w:tcPr>
            <w:tcW w:w="703"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6,70</w:t>
            </w:r>
          </w:p>
        </w:tc>
        <w:tc>
          <w:tcPr>
            <w:tcW w:w="698"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7,84</w:t>
            </w:r>
          </w:p>
        </w:tc>
      </w:tr>
      <w:tr w:rsidR="00AA0A2C" w:rsidRPr="00AA0A2C" w:rsidTr="00AA0A2C">
        <w:trPr>
          <w:trHeight w:val="20"/>
        </w:trPr>
        <w:tc>
          <w:tcPr>
            <w:cnfStyle w:val="001000000000" w:firstRow="0" w:lastRow="0" w:firstColumn="1" w:lastColumn="0" w:oddVBand="0" w:evenVBand="0" w:oddHBand="0" w:evenHBand="0" w:firstRowFirstColumn="0" w:firstRowLastColumn="0" w:lastRowFirstColumn="0" w:lastRowLastColumn="0"/>
            <w:tcW w:w="1806" w:type="pct"/>
            <w:tcBorders>
              <w:left w:val="none" w:sz="0" w:space="0" w:color="auto"/>
            </w:tcBorders>
            <w:noWrap/>
            <w:vAlign w:val="center"/>
            <w:hideMark/>
          </w:tcPr>
          <w:p w:rsidR="00AA0A2C" w:rsidRPr="00AA0A2C" w:rsidRDefault="00AA0A2C" w:rsidP="00AA0A2C">
            <w:pPr>
              <w:spacing w:line="240" w:lineRule="auto"/>
              <w:contextualSpacing w:val="0"/>
              <w:jc w:val="center"/>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Bosque abierto</w:t>
            </w:r>
          </w:p>
        </w:tc>
        <w:tc>
          <w:tcPr>
            <w:tcW w:w="768"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312</w:t>
            </w:r>
          </w:p>
        </w:tc>
        <w:tc>
          <w:tcPr>
            <w:tcW w:w="652"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 xml:space="preserve">261,8 </w:t>
            </w:r>
          </w:p>
        </w:tc>
        <w:tc>
          <w:tcPr>
            <w:tcW w:w="374"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7,8</w:t>
            </w:r>
          </w:p>
        </w:tc>
        <w:tc>
          <w:tcPr>
            <w:tcW w:w="703"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0,70</w:t>
            </w:r>
          </w:p>
        </w:tc>
        <w:tc>
          <w:tcPr>
            <w:tcW w:w="698"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0,82</w:t>
            </w:r>
          </w:p>
        </w:tc>
      </w:tr>
      <w:tr w:rsidR="00AA0A2C" w:rsidRPr="00AA0A2C" w:rsidTr="00AA0A2C">
        <w:trPr>
          <w:trHeight w:val="20"/>
        </w:trPr>
        <w:tc>
          <w:tcPr>
            <w:cnfStyle w:val="001000000000" w:firstRow="0" w:lastRow="0" w:firstColumn="1" w:lastColumn="0" w:oddVBand="0" w:evenVBand="0" w:oddHBand="0" w:evenHBand="0" w:firstRowFirstColumn="0" w:firstRowLastColumn="0" w:lastRowFirstColumn="0" w:lastRowLastColumn="0"/>
            <w:tcW w:w="1806" w:type="pct"/>
            <w:tcBorders>
              <w:left w:val="none" w:sz="0" w:space="0" w:color="auto"/>
            </w:tcBorders>
            <w:noWrap/>
            <w:vAlign w:val="center"/>
            <w:hideMark/>
          </w:tcPr>
          <w:p w:rsidR="00AA0A2C" w:rsidRPr="00AA0A2C" w:rsidRDefault="00AA0A2C" w:rsidP="00AA0A2C">
            <w:pPr>
              <w:spacing w:line="240" w:lineRule="auto"/>
              <w:contextualSpacing w:val="0"/>
              <w:jc w:val="center"/>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Bosque de galería y/o ripario</w:t>
            </w:r>
          </w:p>
        </w:tc>
        <w:tc>
          <w:tcPr>
            <w:tcW w:w="768"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314</w:t>
            </w:r>
          </w:p>
        </w:tc>
        <w:tc>
          <w:tcPr>
            <w:tcW w:w="652"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 xml:space="preserve">226,2 </w:t>
            </w:r>
          </w:p>
        </w:tc>
        <w:tc>
          <w:tcPr>
            <w:tcW w:w="374"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6,7</w:t>
            </w:r>
          </w:p>
        </w:tc>
        <w:tc>
          <w:tcPr>
            <w:tcW w:w="703"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2,33</w:t>
            </w:r>
          </w:p>
        </w:tc>
        <w:tc>
          <w:tcPr>
            <w:tcW w:w="698"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2,73</w:t>
            </w:r>
          </w:p>
        </w:tc>
      </w:tr>
      <w:tr w:rsidR="00AA0A2C" w:rsidRPr="00AA0A2C" w:rsidTr="00AA0A2C">
        <w:trPr>
          <w:trHeight w:val="20"/>
        </w:trPr>
        <w:tc>
          <w:tcPr>
            <w:cnfStyle w:val="001000000000" w:firstRow="0" w:lastRow="0" w:firstColumn="1" w:lastColumn="0" w:oddVBand="0" w:evenVBand="0" w:oddHBand="0" w:evenHBand="0" w:firstRowFirstColumn="0" w:firstRowLastColumn="0" w:lastRowFirstColumn="0" w:lastRowLastColumn="0"/>
            <w:tcW w:w="1806" w:type="pct"/>
            <w:tcBorders>
              <w:left w:val="none" w:sz="0" w:space="0" w:color="auto"/>
            </w:tcBorders>
            <w:noWrap/>
            <w:vAlign w:val="center"/>
            <w:hideMark/>
          </w:tcPr>
          <w:p w:rsidR="00AA0A2C" w:rsidRPr="00AA0A2C" w:rsidRDefault="00AA0A2C" w:rsidP="00AA0A2C">
            <w:pPr>
              <w:spacing w:line="240" w:lineRule="auto"/>
              <w:contextualSpacing w:val="0"/>
              <w:jc w:val="center"/>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Vegetación secundaria o en transición</w:t>
            </w:r>
          </w:p>
        </w:tc>
        <w:tc>
          <w:tcPr>
            <w:tcW w:w="768"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323</w:t>
            </w:r>
          </w:p>
        </w:tc>
        <w:tc>
          <w:tcPr>
            <w:tcW w:w="652"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 xml:space="preserve">147,3 </w:t>
            </w:r>
          </w:p>
        </w:tc>
        <w:tc>
          <w:tcPr>
            <w:tcW w:w="374"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4,4</w:t>
            </w:r>
          </w:p>
        </w:tc>
        <w:tc>
          <w:tcPr>
            <w:tcW w:w="703"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2,95</w:t>
            </w:r>
          </w:p>
        </w:tc>
        <w:tc>
          <w:tcPr>
            <w:tcW w:w="698"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3,45</w:t>
            </w:r>
          </w:p>
        </w:tc>
      </w:tr>
      <w:tr w:rsidR="00AA0A2C" w:rsidRPr="00AA0A2C" w:rsidTr="00AA0A2C">
        <w:trPr>
          <w:trHeight w:val="20"/>
        </w:trPr>
        <w:tc>
          <w:tcPr>
            <w:cnfStyle w:val="001000000000" w:firstRow="0" w:lastRow="0" w:firstColumn="1" w:lastColumn="0" w:oddVBand="0" w:evenVBand="0" w:oddHBand="0" w:evenHBand="0" w:firstRowFirstColumn="0" w:firstRowLastColumn="0" w:lastRowFirstColumn="0" w:lastRowLastColumn="0"/>
            <w:tcW w:w="1806" w:type="pct"/>
            <w:tcBorders>
              <w:left w:val="none" w:sz="0" w:space="0" w:color="auto"/>
            </w:tcBorders>
            <w:noWrap/>
            <w:vAlign w:val="center"/>
            <w:hideMark/>
          </w:tcPr>
          <w:p w:rsidR="00AA0A2C" w:rsidRPr="00AA0A2C" w:rsidRDefault="00AA0A2C" w:rsidP="00AA0A2C">
            <w:pPr>
              <w:spacing w:line="240" w:lineRule="auto"/>
              <w:contextualSpacing w:val="0"/>
              <w:jc w:val="center"/>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Zonas arenosas naturales</w:t>
            </w:r>
          </w:p>
        </w:tc>
        <w:tc>
          <w:tcPr>
            <w:tcW w:w="768"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331</w:t>
            </w:r>
          </w:p>
        </w:tc>
        <w:tc>
          <w:tcPr>
            <w:tcW w:w="652"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 xml:space="preserve">37,5 </w:t>
            </w:r>
          </w:p>
        </w:tc>
        <w:tc>
          <w:tcPr>
            <w:tcW w:w="374"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1,1</w:t>
            </w:r>
          </w:p>
        </w:tc>
        <w:tc>
          <w:tcPr>
            <w:tcW w:w="703"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0,07</w:t>
            </w:r>
          </w:p>
        </w:tc>
        <w:tc>
          <w:tcPr>
            <w:tcW w:w="698"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0,08</w:t>
            </w:r>
          </w:p>
        </w:tc>
      </w:tr>
      <w:tr w:rsidR="00AA0A2C" w:rsidRPr="00AA0A2C" w:rsidTr="00AA0A2C">
        <w:trPr>
          <w:trHeight w:val="20"/>
        </w:trPr>
        <w:tc>
          <w:tcPr>
            <w:cnfStyle w:val="001000000000" w:firstRow="0" w:lastRow="0" w:firstColumn="1" w:lastColumn="0" w:oddVBand="0" w:evenVBand="0" w:oddHBand="0" w:evenHBand="0" w:firstRowFirstColumn="0" w:firstRowLastColumn="0" w:lastRowFirstColumn="0" w:lastRowLastColumn="0"/>
            <w:tcW w:w="1806" w:type="pct"/>
            <w:tcBorders>
              <w:left w:val="none" w:sz="0" w:space="0" w:color="auto"/>
            </w:tcBorders>
            <w:noWrap/>
            <w:vAlign w:val="center"/>
            <w:hideMark/>
          </w:tcPr>
          <w:p w:rsidR="00AA0A2C" w:rsidRPr="00AA0A2C" w:rsidRDefault="00AA0A2C" w:rsidP="00AA0A2C">
            <w:pPr>
              <w:spacing w:line="240" w:lineRule="auto"/>
              <w:contextualSpacing w:val="0"/>
              <w:jc w:val="center"/>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Tierras desnudas y degradadas</w:t>
            </w:r>
          </w:p>
        </w:tc>
        <w:tc>
          <w:tcPr>
            <w:tcW w:w="768"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333</w:t>
            </w:r>
          </w:p>
        </w:tc>
        <w:tc>
          <w:tcPr>
            <w:tcW w:w="652"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 xml:space="preserve">3,8 </w:t>
            </w:r>
          </w:p>
        </w:tc>
        <w:tc>
          <w:tcPr>
            <w:tcW w:w="374"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0,1</w:t>
            </w:r>
          </w:p>
        </w:tc>
        <w:tc>
          <w:tcPr>
            <w:tcW w:w="703"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0,85</w:t>
            </w:r>
          </w:p>
        </w:tc>
        <w:tc>
          <w:tcPr>
            <w:tcW w:w="698"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0,99</w:t>
            </w:r>
          </w:p>
        </w:tc>
      </w:tr>
      <w:tr w:rsidR="00AA0A2C" w:rsidRPr="00AA0A2C" w:rsidTr="00AA0A2C">
        <w:trPr>
          <w:trHeight w:val="20"/>
        </w:trPr>
        <w:tc>
          <w:tcPr>
            <w:cnfStyle w:val="001000000000" w:firstRow="0" w:lastRow="0" w:firstColumn="1" w:lastColumn="0" w:oddVBand="0" w:evenVBand="0" w:oddHBand="0" w:evenHBand="0" w:firstRowFirstColumn="0" w:firstRowLastColumn="0" w:lastRowFirstColumn="0" w:lastRowLastColumn="0"/>
            <w:tcW w:w="1806" w:type="pct"/>
            <w:tcBorders>
              <w:left w:val="none" w:sz="0" w:space="0" w:color="auto"/>
            </w:tcBorders>
            <w:noWrap/>
            <w:vAlign w:val="center"/>
            <w:hideMark/>
          </w:tcPr>
          <w:p w:rsidR="00AA0A2C" w:rsidRPr="00AA0A2C" w:rsidRDefault="00AA0A2C" w:rsidP="00AA0A2C">
            <w:pPr>
              <w:spacing w:line="240" w:lineRule="auto"/>
              <w:contextualSpacing w:val="0"/>
              <w:jc w:val="center"/>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Zonas quemadas</w:t>
            </w:r>
          </w:p>
        </w:tc>
        <w:tc>
          <w:tcPr>
            <w:tcW w:w="768"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334</w:t>
            </w:r>
          </w:p>
        </w:tc>
        <w:tc>
          <w:tcPr>
            <w:tcW w:w="652"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 xml:space="preserve">22,7 </w:t>
            </w:r>
          </w:p>
        </w:tc>
        <w:tc>
          <w:tcPr>
            <w:tcW w:w="374"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0,7</w:t>
            </w:r>
          </w:p>
        </w:tc>
        <w:tc>
          <w:tcPr>
            <w:tcW w:w="703"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0,93</w:t>
            </w:r>
          </w:p>
        </w:tc>
        <w:tc>
          <w:tcPr>
            <w:tcW w:w="698"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1,09</w:t>
            </w:r>
          </w:p>
        </w:tc>
      </w:tr>
      <w:tr w:rsidR="00AA0A2C" w:rsidRPr="00AA0A2C" w:rsidTr="00AA0A2C">
        <w:trPr>
          <w:trHeight w:val="20"/>
        </w:trPr>
        <w:tc>
          <w:tcPr>
            <w:cnfStyle w:val="001000000000" w:firstRow="0" w:lastRow="0" w:firstColumn="1" w:lastColumn="0" w:oddVBand="0" w:evenVBand="0" w:oddHBand="0" w:evenHBand="0" w:firstRowFirstColumn="0" w:firstRowLastColumn="0" w:lastRowFirstColumn="0" w:lastRowLastColumn="0"/>
            <w:tcW w:w="1806" w:type="pct"/>
            <w:tcBorders>
              <w:left w:val="none" w:sz="0" w:space="0" w:color="auto"/>
            </w:tcBorders>
            <w:noWrap/>
            <w:vAlign w:val="center"/>
            <w:hideMark/>
          </w:tcPr>
          <w:p w:rsidR="00AA0A2C" w:rsidRPr="00AA0A2C" w:rsidRDefault="00AA0A2C" w:rsidP="00AA0A2C">
            <w:pPr>
              <w:spacing w:line="240" w:lineRule="auto"/>
              <w:contextualSpacing w:val="0"/>
              <w:jc w:val="center"/>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Zonas pantanosas</w:t>
            </w:r>
          </w:p>
        </w:tc>
        <w:tc>
          <w:tcPr>
            <w:tcW w:w="768"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411</w:t>
            </w:r>
          </w:p>
        </w:tc>
        <w:tc>
          <w:tcPr>
            <w:tcW w:w="652"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 xml:space="preserve"> 23,1 </w:t>
            </w:r>
          </w:p>
        </w:tc>
        <w:tc>
          <w:tcPr>
            <w:tcW w:w="374"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0,7</w:t>
            </w:r>
          </w:p>
        </w:tc>
        <w:tc>
          <w:tcPr>
            <w:tcW w:w="703"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0,32</w:t>
            </w:r>
          </w:p>
        </w:tc>
        <w:tc>
          <w:tcPr>
            <w:tcW w:w="698"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0,37</w:t>
            </w:r>
          </w:p>
        </w:tc>
      </w:tr>
      <w:tr w:rsidR="00AA0A2C" w:rsidRPr="00AA0A2C" w:rsidTr="00AA0A2C">
        <w:trPr>
          <w:trHeight w:val="20"/>
        </w:trPr>
        <w:tc>
          <w:tcPr>
            <w:cnfStyle w:val="001000000000" w:firstRow="0" w:lastRow="0" w:firstColumn="1" w:lastColumn="0" w:oddVBand="0" w:evenVBand="0" w:oddHBand="0" w:evenHBand="0" w:firstRowFirstColumn="0" w:firstRowLastColumn="0" w:lastRowFirstColumn="0" w:lastRowLastColumn="0"/>
            <w:tcW w:w="1806" w:type="pct"/>
            <w:tcBorders>
              <w:left w:val="none" w:sz="0" w:space="0" w:color="auto"/>
            </w:tcBorders>
            <w:noWrap/>
            <w:vAlign w:val="center"/>
            <w:hideMark/>
          </w:tcPr>
          <w:p w:rsidR="00AA0A2C" w:rsidRPr="00AA0A2C" w:rsidRDefault="00AA0A2C" w:rsidP="00AA0A2C">
            <w:pPr>
              <w:spacing w:line="240" w:lineRule="auto"/>
              <w:contextualSpacing w:val="0"/>
              <w:jc w:val="center"/>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Ríos (50 m)</w:t>
            </w:r>
          </w:p>
        </w:tc>
        <w:tc>
          <w:tcPr>
            <w:tcW w:w="768"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511</w:t>
            </w:r>
          </w:p>
        </w:tc>
        <w:tc>
          <w:tcPr>
            <w:tcW w:w="652"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 xml:space="preserve">299,1 </w:t>
            </w:r>
          </w:p>
        </w:tc>
        <w:tc>
          <w:tcPr>
            <w:tcW w:w="374"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8,9</w:t>
            </w:r>
          </w:p>
        </w:tc>
        <w:tc>
          <w:tcPr>
            <w:tcW w:w="703"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0,74</w:t>
            </w:r>
          </w:p>
        </w:tc>
        <w:tc>
          <w:tcPr>
            <w:tcW w:w="698"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0,87</w:t>
            </w:r>
          </w:p>
        </w:tc>
      </w:tr>
      <w:tr w:rsidR="00AA0A2C" w:rsidRPr="00AA0A2C" w:rsidTr="00AA0A2C">
        <w:trPr>
          <w:trHeight w:val="20"/>
        </w:trPr>
        <w:tc>
          <w:tcPr>
            <w:cnfStyle w:val="001000000000" w:firstRow="0" w:lastRow="0" w:firstColumn="1" w:lastColumn="0" w:oddVBand="0" w:evenVBand="0" w:oddHBand="0" w:evenHBand="0" w:firstRowFirstColumn="0" w:firstRowLastColumn="0" w:lastRowFirstColumn="0" w:lastRowLastColumn="0"/>
            <w:tcW w:w="1806" w:type="pct"/>
            <w:tcBorders>
              <w:left w:val="none" w:sz="0" w:space="0" w:color="auto"/>
            </w:tcBorders>
            <w:noWrap/>
            <w:vAlign w:val="center"/>
            <w:hideMark/>
          </w:tcPr>
          <w:p w:rsidR="00AA0A2C" w:rsidRPr="00AA0A2C" w:rsidRDefault="00AA0A2C" w:rsidP="00AA0A2C">
            <w:pPr>
              <w:spacing w:line="240" w:lineRule="auto"/>
              <w:contextualSpacing w:val="0"/>
              <w:jc w:val="center"/>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Cuerpos de agua artificiales</w:t>
            </w:r>
          </w:p>
        </w:tc>
        <w:tc>
          <w:tcPr>
            <w:tcW w:w="768"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514</w:t>
            </w:r>
          </w:p>
        </w:tc>
        <w:tc>
          <w:tcPr>
            <w:tcW w:w="652"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 xml:space="preserve">2,0 </w:t>
            </w:r>
          </w:p>
        </w:tc>
        <w:tc>
          <w:tcPr>
            <w:tcW w:w="374"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0,1</w:t>
            </w:r>
          </w:p>
        </w:tc>
        <w:tc>
          <w:tcPr>
            <w:tcW w:w="703"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0,0</w:t>
            </w:r>
          </w:p>
        </w:tc>
        <w:tc>
          <w:tcPr>
            <w:tcW w:w="698"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AA0A2C">
              <w:rPr>
                <w:rFonts w:asciiTheme="majorHAnsi" w:eastAsia="Times New Roman" w:hAnsiTheme="majorHAnsi"/>
                <w:color w:val="000000"/>
                <w:sz w:val="18"/>
                <w:szCs w:val="18"/>
                <w:lang w:eastAsia="es-CO"/>
              </w:rPr>
              <w:t>0,0</w:t>
            </w:r>
          </w:p>
        </w:tc>
      </w:tr>
      <w:tr w:rsidR="00AA0A2C" w:rsidRPr="00AA0A2C" w:rsidTr="00AA0A2C">
        <w:trPr>
          <w:trHeight w:val="20"/>
        </w:trPr>
        <w:tc>
          <w:tcPr>
            <w:cnfStyle w:val="001000000000" w:firstRow="0" w:lastRow="0" w:firstColumn="1" w:lastColumn="0" w:oddVBand="0" w:evenVBand="0" w:oddHBand="0" w:evenHBand="0" w:firstRowFirstColumn="0" w:firstRowLastColumn="0" w:lastRowFirstColumn="0" w:lastRowLastColumn="0"/>
            <w:tcW w:w="2574" w:type="pct"/>
            <w:gridSpan w:val="2"/>
            <w:tcBorders>
              <w:left w:val="none" w:sz="0" w:space="0" w:color="auto"/>
            </w:tcBorders>
            <w:noWrap/>
            <w:vAlign w:val="center"/>
            <w:hideMark/>
          </w:tcPr>
          <w:p w:rsidR="00AA0A2C" w:rsidRPr="00AA0A2C" w:rsidRDefault="00AA0A2C" w:rsidP="00AA0A2C">
            <w:pPr>
              <w:spacing w:line="240" w:lineRule="auto"/>
              <w:contextualSpacing w:val="0"/>
              <w:jc w:val="center"/>
              <w:rPr>
                <w:rFonts w:asciiTheme="majorHAnsi" w:eastAsia="Times New Roman" w:hAnsiTheme="majorHAnsi"/>
                <w:b/>
                <w:bCs/>
                <w:color w:val="000000"/>
                <w:sz w:val="18"/>
                <w:szCs w:val="18"/>
                <w:lang w:eastAsia="es-CO"/>
              </w:rPr>
            </w:pPr>
            <w:r w:rsidRPr="00AA0A2C">
              <w:rPr>
                <w:rFonts w:asciiTheme="majorHAnsi" w:eastAsia="Times New Roman" w:hAnsiTheme="majorHAnsi"/>
                <w:b/>
                <w:bCs/>
                <w:color w:val="000000"/>
                <w:sz w:val="18"/>
                <w:szCs w:val="18"/>
                <w:lang w:eastAsia="es-CO"/>
              </w:rPr>
              <w:t>TOTAL</w:t>
            </w:r>
          </w:p>
        </w:tc>
        <w:tc>
          <w:tcPr>
            <w:tcW w:w="652"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000000"/>
                <w:sz w:val="18"/>
                <w:szCs w:val="18"/>
                <w:lang w:eastAsia="es-CO"/>
              </w:rPr>
            </w:pPr>
            <w:r w:rsidRPr="00AA0A2C">
              <w:rPr>
                <w:rFonts w:asciiTheme="majorHAnsi" w:eastAsia="Times New Roman" w:hAnsiTheme="majorHAnsi"/>
                <w:b/>
                <w:bCs/>
                <w:color w:val="000000"/>
                <w:sz w:val="18"/>
                <w:szCs w:val="18"/>
                <w:lang w:eastAsia="es-CO"/>
              </w:rPr>
              <w:t xml:space="preserve">3.363,28 </w:t>
            </w:r>
          </w:p>
        </w:tc>
        <w:tc>
          <w:tcPr>
            <w:tcW w:w="374"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000000"/>
                <w:sz w:val="18"/>
                <w:szCs w:val="18"/>
                <w:lang w:eastAsia="es-CO"/>
              </w:rPr>
            </w:pPr>
            <w:r w:rsidRPr="00AA0A2C">
              <w:rPr>
                <w:rFonts w:asciiTheme="majorHAnsi" w:eastAsia="Times New Roman" w:hAnsiTheme="majorHAnsi"/>
                <w:b/>
                <w:bCs/>
                <w:color w:val="000000"/>
                <w:sz w:val="18"/>
                <w:szCs w:val="18"/>
                <w:lang w:eastAsia="es-CO"/>
              </w:rPr>
              <w:t>100</w:t>
            </w:r>
          </w:p>
        </w:tc>
        <w:tc>
          <w:tcPr>
            <w:tcW w:w="703"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000000"/>
                <w:sz w:val="18"/>
                <w:szCs w:val="18"/>
                <w:lang w:eastAsia="es-CO"/>
              </w:rPr>
            </w:pPr>
            <w:r w:rsidRPr="00AA0A2C">
              <w:rPr>
                <w:rFonts w:asciiTheme="majorHAnsi" w:eastAsia="Times New Roman" w:hAnsiTheme="majorHAnsi"/>
                <w:b/>
                <w:bCs/>
                <w:color w:val="000000"/>
                <w:sz w:val="18"/>
                <w:szCs w:val="18"/>
                <w:lang w:eastAsia="es-CO"/>
              </w:rPr>
              <w:t>85,45</w:t>
            </w:r>
          </w:p>
        </w:tc>
        <w:tc>
          <w:tcPr>
            <w:tcW w:w="698" w:type="pct"/>
            <w:noWrap/>
            <w:vAlign w:val="center"/>
            <w:hideMark/>
          </w:tcPr>
          <w:p w:rsidR="00AA0A2C" w:rsidRPr="00AA0A2C" w:rsidRDefault="00AA0A2C" w:rsidP="00AA0A2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000000"/>
                <w:sz w:val="18"/>
                <w:szCs w:val="18"/>
                <w:lang w:eastAsia="es-CO"/>
              </w:rPr>
            </w:pPr>
            <w:r w:rsidRPr="00AA0A2C">
              <w:rPr>
                <w:rFonts w:asciiTheme="majorHAnsi" w:eastAsia="Times New Roman" w:hAnsiTheme="majorHAnsi"/>
                <w:b/>
                <w:bCs/>
                <w:color w:val="000000"/>
                <w:sz w:val="18"/>
                <w:szCs w:val="18"/>
                <w:lang w:eastAsia="es-CO"/>
              </w:rPr>
              <w:t>100</w:t>
            </w:r>
          </w:p>
        </w:tc>
      </w:tr>
    </w:tbl>
    <w:p w:rsidR="00AA0A2C" w:rsidRPr="00AA0A2C" w:rsidRDefault="00AA0A2C" w:rsidP="00AA0A2C">
      <w:pPr>
        <w:pStyle w:val="Notas"/>
        <w:rPr>
          <w:rFonts w:asciiTheme="majorHAnsi" w:hAnsiTheme="majorHAnsi"/>
        </w:rPr>
      </w:pPr>
      <w:r w:rsidRPr="00AA0A2C">
        <w:rPr>
          <w:rFonts w:asciiTheme="majorHAnsi" w:hAnsiTheme="majorHAnsi"/>
        </w:rPr>
        <w:t>Fuente: Autopista Rio Magdalena S.A.S., 2016.</w:t>
      </w:r>
    </w:p>
    <w:p w:rsidR="00406537" w:rsidRDefault="00406537">
      <w:pPr>
        <w:spacing w:line="240" w:lineRule="auto"/>
        <w:contextualSpacing w:val="0"/>
        <w:jc w:val="left"/>
        <w:rPr>
          <w:rFonts w:eastAsia="Times New Roman"/>
          <w:b/>
          <w:bCs/>
          <w:kern w:val="32"/>
          <w:szCs w:val="32"/>
        </w:rPr>
      </w:pPr>
      <w:r>
        <w:br w:type="page"/>
      </w:r>
    </w:p>
    <w:p w:rsidR="00AA0A2C" w:rsidRPr="00AA0A2C" w:rsidRDefault="00AA0A2C" w:rsidP="00AA0A2C">
      <w:pPr>
        <w:pStyle w:val="Ttulo3"/>
        <w:rPr>
          <w:b w:val="0"/>
        </w:rPr>
      </w:pPr>
      <w:r w:rsidRPr="00AA0A2C">
        <w:t xml:space="preserve">Etapa Constructiva en </w:t>
      </w:r>
      <w:r>
        <w:t>V</w:t>
      </w:r>
      <w:r w:rsidRPr="00AA0A2C">
        <w:t xml:space="preserve">ía en </w:t>
      </w:r>
      <w:r>
        <w:t>S</w:t>
      </w:r>
      <w:r w:rsidRPr="00AA0A2C">
        <w:t>uperficie</w:t>
      </w:r>
    </w:p>
    <w:p w:rsidR="00AA0A2C" w:rsidRPr="00AA0A2C" w:rsidRDefault="00AA0A2C" w:rsidP="00AA0A2C">
      <w:pPr>
        <w:rPr>
          <w:rFonts w:asciiTheme="majorHAnsi" w:hAnsiTheme="majorHAnsi" w:cs="Arial"/>
        </w:rPr>
      </w:pPr>
    </w:p>
    <w:p w:rsidR="00AA0A2C" w:rsidRPr="00AA0A2C" w:rsidRDefault="00AA0A2C" w:rsidP="00AA0A2C">
      <w:pPr>
        <w:pStyle w:val="Ttulo4"/>
      </w:pPr>
      <w:r w:rsidRPr="00AA0A2C">
        <w:t>Medio Físico</w:t>
      </w:r>
    </w:p>
    <w:p w:rsidR="00AA0A2C" w:rsidRPr="00AA0A2C" w:rsidRDefault="00AA0A2C" w:rsidP="00AA0A2C">
      <w:pPr>
        <w:rPr>
          <w:rFonts w:asciiTheme="majorHAnsi" w:hAnsiTheme="majorHAnsi"/>
          <w:b/>
        </w:rPr>
      </w:pPr>
    </w:p>
    <w:p w:rsidR="00AA0A2C" w:rsidRPr="00AA0A2C" w:rsidRDefault="00AA0A2C" w:rsidP="00AA0A2C">
      <w:pPr>
        <w:pStyle w:val="Ttulo5"/>
      </w:pPr>
      <w:r w:rsidRPr="00AA0A2C">
        <w:t>Valoración de impactos sobre el recurso suelo</w:t>
      </w:r>
    </w:p>
    <w:p w:rsidR="00AA0A2C" w:rsidRPr="00AA0A2C" w:rsidRDefault="00AA0A2C" w:rsidP="00AA0A2C">
      <w:pPr>
        <w:rPr>
          <w:rFonts w:asciiTheme="majorHAnsi" w:hAnsiTheme="majorHAnsi" w:cs="Arial"/>
          <w:b/>
        </w:rPr>
      </w:pPr>
    </w:p>
    <w:p w:rsidR="00AA0A2C" w:rsidRPr="00AA0A2C" w:rsidRDefault="00AA0A2C" w:rsidP="00AA0A2C">
      <w:pPr>
        <w:rPr>
          <w:rFonts w:asciiTheme="majorHAnsi" w:hAnsiTheme="majorHAnsi" w:cs="Arial"/>
          <w:b/>
        </w:rPr>
      </w:pPr>
      <w:r w:rsidRPr="00AA0A2C">
        <w:rPr>
          <w:rFonts w:asciiTheme="majorHAnsi" w:hAnsiTheme="majorHAnsi" w:cs="Arial"/>
          <w:b/>
        </w:rPr>
        <w:t>Cambio de uso del suelo</w:t>
      </w:r>
    </w:p>
    <w:p w:rsidR="00AA0A2C" w:rsidRPr="00AA0A2C" w:rsidRDefault="00AA0A2C" w:rsidP="00AA0A2C">
      <w:pPr>
        <w:rPr>
          <w:rFonts w:asciiTheme="majorHAnsi" w:hAnsiTheme="majorHAnsi" w:cs="Arial"/>
        </w:rPr>
      </w:pPr>
    </w:p>
    <w:p w:rsidR="00AA0A2C" w:rsidRPr="00AA0A2C" w:rsidRDefault="00AA0A2C" w:rsidP="00AA0A2C">
      <w:pPr>
        <w:rPr>
          <w:rFonts w:asciiTheme="majorHAnsi" w:hAnsiTheme="majorHAnsi" w:cs="Arial"/>
        </w:rPr>
      </w:pPr>
      <w:r w:rsidRPr="00AA0A2C">
        <w:rPr>
          <w:rFonts w:asciiTheme="majorHAnsi" w:hAnsiTheme="majorHAnsi" w:cs="Arial"/>
        </w:rPr>
        <w:t>Para la valoración de los impactos no internalizables se tomó como referencia la pérdida de productividad por cambios en el uso del suelo, que significa el costo de oportunidad por sacrificar actividades productivas para dar paso a la infraestructura que requiere el proyecto.</w:t>
      </w:r>
    </w:p>
    <w:p w:rsidR="00AA0A2C" w:rsidRPr="00AA0A2C" w:rsidRDefault="00AA0A2C" w:rsidP="00AA0A2C">
      <w:pPr>
        <w:rPr>
          <w:rFonts w:asciiTheme="majorHAnsi" w:hAnsiTheme="majorHAnsi" w:cs="Arial"/>
        </w:rPr>
      </w:pPr>
    </w:p>
    <w:p w:rsidR="00AA0A2C" w:rsidRPr="00AA0A2C" w:rsidRDefault="00AA0A2C" w:rsidP="00AA0A2C">
      <w:pPr>
        <w:rPr>
          <w:rFonts w:asciiTheme="majorHAnsi" w:hAnsiTheme="majorHAnsi" w:cs="Arial"/>
        </w:rPr>
      </w:pPr>
      <w:r w:rsidRPr="00AA0A2C">
        <w:rPr>
          <w:rFonts w:asciiTheme="majorHAnsi" w:hAnsiTheme="majorHAnsi"/>
          <w:b/>
        </w:rPr>
        <w:t>Valoración de impactos sobre la actividad pecuaria</w:t>
      </w:r>
    </w:p>
    <w:p w:rsidR="00AA0A2C" w:rsidRPr="00AA0A2C" w:rsidRDefault="00AA0A2C" w:rsidP="00AA0A2C">
      <w:pPr>
        <w:rPr>
          <w:rFonts w:asciiTheme="majorHAnsi" w:hAnsiTheme="majorHAnsi" w:cs="Arial"/>
        </w:rPr>
      </w:pPr>
    </w:p>
    <w:p w:rsidR="00AA0A2C" w:rsidRPr="00AA0A2C" w:rsidRDefault="00AA0A2C" w:rsidP="00AA0A2C">
      <w:pPr>
        <w:rPr>
          <w:rFonts w:asciiTheme="majorHAnsi" w:hAnsiTheme="majorHAnsi" w:cs="Arial"/>
        </w:rPr>
      </w:pPr>
      <w:r w:rsidRPr="00AA0A2C">
        <w:rPr>
          <w:rFonts w:asciiTheme="majorHAnsi" w:hAnsiTheme="majorHAnsi" w:cs="Arial"/>
        </w:rPr>
        <w:t xml:space="preserve">Con el propósito de medir las </w:t>
      </w:r>
      <w:r w:rsidRPr="00AA0A2C">
        <w:rPr>
          <w:rFonts w:asciiTheme="majorHAnsi" w:hAnsiTheme="majorHAnsi" w:cs="Arial"/>
          <w:b/>
        </w:rPr>
        <w:t>afectaciones a la actividad pecuaria</w:t>
      </w:r>
      <w:r w:rsidRPr="00AA0A2C">
        <w:rPr>
          <w:rFonts w:asciiTheme="majorHAnsi" w:hAnsiTheme="majorHAnsi" w:cs="Arial"/>
        </w:rPr>
        <w:t xml:space="preserve"> en el área de influencia directa y particularmente en la franja del corredor se establecieron parámetros basados en la caracterización contenida en el EIA y se valoró el área en pastos, la capacidad de carga en UGG, los costos de producción, la inversión total y la ganancia por animal.</w:t>
      </w:r>
    </w:p>
    <w:p w:rsidR="00AA0A2C" w:rsidRPr="00AA0A2C" w:rsidRDefault="00AA0A2C" w:rsidP="00AA0A2C">
      <w:pPr>
        <w:rPr>
          <w:rFonts w:asciiTheme="majorHAnsi" w:hAnsiTheme="majorHAnsi" w:cs="Arial"/>
        </w:rPr>
      </w:pPr>
    </w:p>
    <w:p w:rsidR="00AA0A2C" w:rsidRPr="00AA0A2C" w:rsidRDefault="00AA0A2C" w:rsidP="00AA0A2C">
      <w:pPr>
        <w:rPr>
          <w:rFonts w:asciiTheme="majorHAnsi" w:hAnsiTheme="majorHAnsi" w:cs="Arial"/>
        </w:rPr>
      </w:pPr>
      <w:r w:rsidRPr="00AA0A2C">
        <w:rPr>
          <w:rFonts w:asciiTheme="majorHAnsi" w:hAnsiTheme="majorHAnsi" w:cs="Arial"/>
        </w:rPr>
        <w:t>Se utilizaron los indicadores usuales en la evaluación de la producción pecuaria, como el número de animales y el peso promedio por ca</w:t>
      </w:r>
      <w:r w:rsidR="00406537">
        <w:rPr>
          <w:rFonts w:asciiTheme="majorHAnsi" w:hAnsiTheme="majorHAnsi" w:cs="Arial"/>
        </w:rPr>
        <w:t>da uno, se estableció el precio</w:t>
      </w:r>
      <w:r w:rsidRPr="00AA0A2C">
        <w:rPr>
          <w:rFonts w:asciiTheme="majorHAnsi" w:hAnsiTheme="majorHAnsi" w:cs="Arial"/>
        </w:rPr>
        <w:t xml:space="preserve">/kg para animal en pie, y luego se obtuvo el valor por animal y finalmente el valor de hato ubicado en el </w:t>
      </w:r>
      <w:r w:rsidR="00406537">
        <w:rPr>
          <w:rFonts w:asciiTheme="majorHAnsi" w:hAnsiTheme="majorHAnsi" w:cs="Arial"/>
        </w:rPr>
        <w:t>Área de Intervención</w:t>
      </w:r>
      <w:r w:rsidRPr="00AA0A2C">
        <w:rPr>
          <w:rFonts w:asciiTheme="majorHAnsi" w:hAnsiTheme="majorHAnsi" w:cs="Arial"/>
        </w:rPr>
        <w:t>.</w:t>
      </w:r>
    </w:p>
    <w:p w:rsidR="00AA0A2C" w:rsidRPr="00AA0A2C" w:rsidRDefault="00AA0A2C" w:rsidP="00AA0A2C">
      <w:pPr>
        <w:rPr>
          <w:rFonts w:asciiTheme="majorHAnsi" w:hAnsiTheme="majorHAnsi" w:cs="Arial"/>
        </w:rPr>
      </w:pPr>
    </w:p>
    <w:p w:rsidR="00AA0A2C" w:rsidRPr="00AA0A2C" w:rsidRDefault="00AA0A2C" w:rsidP="00AA0A2C">
      <w:pPr>
        <w:rPr>
          <w:rFonts w:asciiTheme="majorHAnsi" w:hAnsiTheme="majorHAnsi" w:cs="Arial"/>
          <w:b/>
        </w:rPr>
      </w:pPr>
      <w:r w:rsidRPr="00AA0A2C">
        <w:rPr>
          <w:rFonts w:asciiTheme="majorHAnsi" w:hAnsiTheme="majorHAnsi" w:cs="Arial"/>
        </w:rPr>
        <w:t xml:space="preserve">Una vez aplicados se obtuvo el valor económico de la producción pecuaria que se dejará de obtener a raíz de la ejecución del proyecto. El valor del impacto que representa el costo de oportunidad del recurso suelo para la actividad ganadera calculado su valor presente neto alcanza un monto de </w:t>
      </w:r>
      <w:r w:rsidRPr="00B17532">
        <w:rPr>
          <w:rFonts w:asciiTheme="majorHAnsi" w:hAnsiTheme="majorHAnsi" w:cs="Arial"/>
          <w:b/>
          <w:color w:val="000000"/>
          <w:lang w:eastAsia="es-CO"/>
        </w:rPr>
        <w:t>$</w:t>
      </w:r>
      <w:r w:rsidR="005B22DF" w:rsidRPr="005B22DF">
        <w:rPr>
          <w:rFonts w:asciiTheme="majorHAnsi" w:hAnsiTheme="majorHAnsi" w:cs="Arial"/>
          <w:b/>
          <w:color w:val="000000"/>
          <w:lang w:eastAsia="es-CO"/>
        </w:rPr>
        <w:t>696.370.825</w:t>
      </w:r>
      <w:r w:rsidRPr="00B17532">
        <w:rPr>
          <w:rFonts w:asciiTheme="majorHAnsi" w:hAnsiTheme="majorHAnsi" w:cs="Arial"/>
          <w:b/>
          <w:color w:val="000000"/>
          <w:lang w:eastAsia="es-CO"/>
        </w:rPr>
        <w:t>.</w:t>
      </w:r>
      <w:r w:rsidRPr="00AA0A2C">
        <w:rPr>
          <w:rFonts w:asciiTheme="majorHAnsi" w:hAnsiTheme="majorHAnsi" w:cs="Arial"/>
          <w:b/>
          <w:color w:val="000000"/>
          <w:lang w:eastAsia="es-CO"/>
        </w:rPr>
        <w:t xml:space="preserve"> </w:t>
      </w:r>
      <w:r w:rsidRPr="00AA0A2C">
        <w:rPr>
          <w:rFonts w:asciiTheme="majorHAnsi" w:hAnsiTheme="majorHAnsi" w:cs="Arial"/>
        </w:rPr>
        <w:t>Los resultados de las estimaciones se presentan en la siguiente Tabla.</w:t>
      </w:r>
    </w:p>
    <w:p w:rsidR="00AA0A2C" w:rsidRPr="00AA0A2C" w:rsidRDefault="00AA0A2C" w:rsidP="00AA0A2C">
      <w:pPr>
        <w:rPr>
          <w:rFonts w:asciiTheme="majorHAnsi" w:hAnsiTheme="majorHAnsi" w:cs="Arial"/>
          <w:b/>
        </w:rPr>
      </w:pPr>
    </w:p>
    <w:p w:rsidR="00406537" w:rsidRDefault="00406537">
      <w:pPr>
        <w:spacing w:line="240" w:lineRule="auto"/>
        <w:contextualSpacing w:val="0"/>
        <w:jc w:val="left"/>
        <w:rPr>
          <w:b/>
          <w:bCs/>
          <w:sz w:val="20"/>
          <w:szCs w:val="20"/>
        </w:rPr>
      </w:pPr>
      <w:bookmarkStart w:id="94" w:name="_Toc381338386"/>
      <w:r>
        <w:br w:type="page"/>
      </w:r>
    </w:p>
    <w:p w:rsidR="00AA0A2C" w:rsidRPr="00AA0A2C" w:rsidRDefault="00406537" w:rsidP="00406537">
      <w:pPr>
        <w:pStyle w:val="Tablas"/>
        <w:rPr>
          <w:rFonts w:asciiTheme="majorHAnsi" w:hAnsiTheme="majorHAnsi"/>
        </w:rPr>
      </w:pPr>
      <w:r>
        <w:t xml:space="preserve">Tabla </w:t>
      </w:r>
      <w:r w:rsidR="006D0D6E">
        <w:fldChar w:fldCharType="begin"/>
      </w:r>
      <w:r w:rsidR="006D0D6E">
        <w:instrText xml:space="preserve"> STYLEREF 1 \s </w:instrText>
      </w:r>
      <w:r w:rsidR="006D0D6E">
        <w:fldChar w:fldCharType="separate"/>
      </w:r>
      <w:r w:rsidR="006D0D6E">
        <w:rPr>
          <w:noProof/>
        </w:rPr>
        <w:t>10</w:t>
      </w:r>
      <w:r w:rsidR="006D0D6E">
        <w:fldChar w:fldCharType="end"/>
      </w:r>
      <w:r w:rsidR="006D0D6E">
        <w:t>.</w:t>
      </w:r>
      <w:r w:rsidR="006D0D6E">
        <w:fldChar w:fldCharType="begin"/>
      </w:r>
      <w:r w:rsidR="006D0D6E">
        <w:instrText xml:space="preserve"> SEQ Tabla \* ARABIC \s 1 </w:instrText>
      </w:r>
      <w:r w:rsidR="006D0D6E">
        <w:fldChar w:fldCharType="separate"/>
      </w:r>
      <w:r w:rsidR="006D0D6E">
        <w:rPr>
          <w:noProof/>
        </w:rPr>
        <w:t>7</w:t>
      </w:r>
      <w:r w:rsidR="006D0D6E">
        <w:fldChar w:fldCharType="end"/>
      </w:r>
      <w:r>
        <w:t xml:space="preserve"> </w:t>
      </w:r>
      <w:r w:rsidR="00AA0A2C" w:rsidRPr="00AA0A2C">
        <w:rPr>
          <w:rFonts w:asciiTheme="majorHAnsi" w:hAnsiTheme="majorHAnsi"/>
        </w:rPr>
        <w:t>Afectación de la actividad ganadera en Construcción</w:t>
      </w:r>
      <w:bookmarkEnd w:id="94"/>
    </w:p>
    <w:tbl>
      <w:tblPr>
        <w:tblStyle w:val="Gminis"/>
        <w:tblW w:w="5000" w:type="pct"/>
        <w:tblLook w:val="04A0" w:firstRow="1" w:lastRow="0" w:firstColumn="1" w:lastColumn="0" w:noHBand="0" w:noVBand="1"/>
      </w:tblPr>
      <w:tblGrid>
        <w:gridCol w:w="1412"/>
        <w:gridCol w:w="1135"/>
        <w:gridCol w:w="793"/>
        <w:gridCol w:w="853"/>
        <w:gridCol w:w="1462"/>
        <w:gridCol w:w="1183"/>
        <w:gridCol w:w="1423"/>
      </w:tblGrid>
      <w:tr w:rsidR="00406537" w:rsidRPr="00406537" w:rsidTr="007B4700">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gridSpan w:val="7"/>
            <w:tcBorders>
              <w:top w:val="none" w:sz="0" w:space="0" w:color="auto"/>
              <w:left w:val="none" w:sz="0" w:space="0" w:color="auto"/>
              <w:bottom w:val="none" w:sz="0" w:space="0" w:color="auto"/>
              <w:right w:val="none" w:sz="0" w:space="0" w:color="auto"/>
            </w:tcBorders>
            <w:vAlign w:val="center"/>
            <w:hideMark/>
          </w:tcPr>
          <w:p w:rsidR="00406537" w:rsidRPr="00406537" w:rsidRDefault="00406537" w:rsidP="007B4700">
            <w:pPr>
              <w:spacing w:line="240" w:lineRule="auto"/>
              <w:contextualSpacing w:val="0"/>
              <w:jc w:val="center"/>
              <w:rPr>
                <w:rFonts w:asciiTheme="majorHAnsi" w:eastAsia="Times New Roman" w:hAnsiTheme="majorHAnsi"/>
                <w:bCs/>
                <w:color w:val="000000"/>
                <w:sz w:val="18"/>
                <w:szCs w:val="18"/>
                <w:lang w:eastAsia="es-CO"/>
              </w:rPr>
            </w:pPr>
            <w:r w:rsidRPr="00406537">
              <w:rPr>
                <w:rFonts w:asciiTheme="majorHAnsi" w:eastAsia="Times New Roman" w:hAnsiTheme="majorHAnsi"/>
                <w:bCs/>
                <w:color w:val="000000"/>
                <w:sz w:val="18"/>
                <w:szCs w:val="18"/>
                <w:lang w:eastAsia="es-CO"/>
              </w:rPr>
              <w:t>CAMBIO DE USO DEL SUELO EN CONSTRUCCIÓN</w:t>
            </w:r>
          </w:p>
        </w:tc>
      </w:tr>
      <w:tr w:rsidR="00406537" w:rsidRPr="00406537" w:rsidTr="007B4700">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tcBorders>
              <w:left w:val="none" w:sz="0" w:space="0" w:color="auto"/>
            </w:tcBorders>
            <w:vAlign w:val="center"/>
            <w:hideMark/>
          </w:tcPr>
          <w:p w:rsidR="00406537" w:rsidRPr="00406537" w:rsidRDefault="00406537" w:rsidP="007B4700">
            <w:pPr>
              <w:spacing w:line="240" w:lineRule="auto"/>
              <w:contextualSpacing w:val="0"/>
              <w:jc w:val="center"/>
              <w:rPr>
                <w:rFonts w:asciiTheme="majorHAnsi" w:eastAsia="Times New Roman" w:hAnsiTheme="majorHAnsi"/>
                <w:b/>
                <w:bCs/>
                <w:color w:val="000000"/>
                <w:sz w:val="18"/>
                <w:szCs w:val="18"/>
                <w:lang w:eastAsia="es-CO"/>
              </w:rPr>
            </w:pPr>
            <w:r w:rsidRPr="00406537">
              <w:rPr>
                <w:rFonts w:asciiTheme="majorHAnsi" w:eastAsia="Times New Roman" w:hAnsiTheme="majorHAnsi"/>
                <w:b/>
                <w:bCs/>
                <w:color w:val="000000"/>
                <w:sz w:val="18"/>
                <w:szCs w:val="18"/>
                <w:lang w:eastAsia="es-CO"/>
              </w:rPr>
              <w:t>Valoración económica ambiental (afectación de la actividad ganadera)</w:t>
            </w:r>
          </w:p>
        </w:tc>
      </w:tr>
      <w:tr w:rsidR="00406537" w:rsidRPr="00406537" w:rsidTr="007B4700">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tcBorders>
              <w:left w:val="none" w:sz="0" w:space="0" w:color="auto"/>
            </w:tcBorders>
            <w:vAlign w:val="center"/>
            <w:hideMark/>
          </w:tcPr>
          <w:p w:rsidR="00406537" w:rsidRPr="00406537" w:rsidRDefault="00406537" w:rsidP="007B4700">
            <w:pPr>
              <w:spacing w:line="240" w:lineRule="auto"/>
              <w:contextualSpacing w:val="0"/>
              <w:jc w:val="center"/>
              <w:rPr>
                <w:rFonts w:asciiTheme="majorHAnsi" w:eastAsia="Times New Roman" w:hAnsiTheme="majorHAnsi"/>
                <w:b/>
                <w:bCs/>
                <w:color w:val="000000"/>
                <w:sz w:val="18"/>
                <w:szCs w:val="18"/>
                <w:lang w:eastAsia="es-CO"/>
              </w:rPr>
            </w:pPr>
            <w:r w:rsidRPr="00406537">
              <w:rPr>
                <w:rFonts w:asciiTheme="majorHAnsi" w:eastAsia="Times New Roman" w:hAnsiTheme="majorHAnsi"/>
                <w:b/>
                <w:bCs/>
                <w:color w:val="000000"/>
                <w:sz w:val="18"/>
                <w:szCs w:val="18"/>
                <w:lang w:eastAsia="es-CO"/>
              </w:rPr>
              <w:t>Pastos</w:t>
            </w:r>
          </w:p>
        </w:tc>
      </w:tr>
      <w:tr w:rsidR="00406537" w:rsidRPr="00406537" w:rsidTr="007B4700">
        <w:trPr>
          <w:trHeight w:val="20"/>
        </w:trPr>
        <w:tc>
          <w:tcPr>
            <w:cnfStyle w:val="001000000000" w:firstRow="0" w:lastRow="0" w:firstColumn="1" w:lastColumn="0" w:oddVBand="0" w:evenVBand="0" w:oddHBand="0" w:evenHBand="0" w:firstRowFirstColumn="0" w:firstRowLastColumn="0" w:lastRowFirstColumn="0" w:lastRowLastColumn="0"/>
            <w:tcW w:w="855" w:type="pct"/>
            <w:tcBorders>
              <w:left w:val="none" w:sz="0" w:space="0" w:color="auto"/>
            </w:tcBorders>
            <w:vAlign w:val="center"/>
            <w:hideMark/>
          </w:tcPr>
          <w:p w:rsidR="00406537" w:rsidRPr="00406537" w:rsidRDefault="00406537" w:rsidP="007B4700">
            <w:pPr>
              <w:spacing w:line="240" w:lineRule="auto"/>
              <w:contextualSpacing w:val="0"/>
              <w:jc w:val="center"/>
              <w:rPr>
                <w:rFonts w:asciiTheme="majorHAnsi" w:eastAsia="Times New Roman" w:hAnsiTheme="majorHAnsi"/>
                <w:b/>
                <w:bCs/>
                <w:color w:val="000000"/>
                <w:sz w:val="18"/>
                <w:szCs w:val="18"/>
                <w:lang w:eastAsia="es-CO"/>
              </w:rPr>
            </w:pPr>
            <w:r w:rsidRPr="00406537">
              <w:rPr>
                <w:rFonts w:asciiTheme="majorHAnsi" w:eastAsia="Times New Roman" w:hAnsiTheme="majorHAnsi"/>
                <w:b/>
                <w:bCs/>
                <w:color w:val="000000"/>
                <w:sz w:val="18"/>
                <w:szCs w:val="18"/>
                <w:lang w:eastAsia="es-CO"/>
              </w:rPr>
              <w:t xml:space="preserve">Tipo de cultivo </w:t>
            </w:r>
            <w:r w:rsidRPr="00406537">
              <w:rPr>
                <w:rFonts w:asciiTheme="majorHAnsi" w:eastAsia="Times New Roman" w:hAnsiTheme="majorHAnsi"/>
                <w:b/>
                <w:bCs/>
                <w:color w:val="000000"/>
                <w:sz w:val="18"/>
                <w:szCs w:val="18"/>
                <w:vertAlign w:val="superscript"/>
                <w:lang w:eastAsia="es-CO"/>
              </w:rPr>
              <w:t>*</w:t>
            </w:r>
          </w:p>
        </w:tc>
        <w:tc>
          <w:tcPr>
            <w:tcW w:w="1167" w:type="pct"/>
            <w:gridSpan w:val="2"/>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000000"/>
                <w:sz w:val="18"/>
                <w:szCs w:val="18"/>
                <w:lang w:eastAsia="es-CO"/>
              </w:rPr>
            </w:pPr>
            <w:r w:rsidRPr="00406537">
              <w:rPr>
                <w:rFonts w:asciiTheme="majorHAnsi" w:eastAsia="Times New Roman" w:hAnsiTheme="majorHAnsi"/>
                <w:b/>
                <w:bCs/>
                <w:color w:val="000000"/>
                <w:sz w:val="18"/>
                <w:szCs w:val="18"/>
                <w:lang w:eastAsia="es-CO"/>
              </w:rPr>
              <w:t>Área sembrada Ha*</w:t>
            </w:r>
          </w:p>
        </w:tc>
        <w:tc>
          <w:tcPr>
            <w:tcW w:w="1401" w:type="pct"/>
            <w:gridSpan w:val="2"/>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000000"/>
                <w:sz w:val="18"/>
                <w:szCs w:val="18"/>
                <w:lang w:eastAsia="es-CO"/>
              </w:rPr>
            </w:pPr>
            <w:r w:rsidRPr="00406537">
              <w:rPr>
                <w:rFonts w:asciiTheme="majorHAnsi" w:eastAsia="Times New Roman" w:hAnsiTheme="majorHAnsi"/>
                <w:b/>
                <w:bCs/>
                <w:color w:val="000000"/>
                <w:sz w:val="18"/>
                <w:szCs w:val="18"/>
                <w:lang w:eastAsia="es-CO"/>
              </w:rPr>
              <w:t>Costos de producción (Ha/año) **</w:t>
            </w:r>
          </w:p>
        </w:tc>
        <w:tc>
          <w:tcPr>
            <w:tcW w:w="1577" w:type="pct"/>
            <w:gridSpan w:val="2"/>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000000"/>
                <w:sz w:val="18"/>
                <w:szCs w:val="18"/>
                <w:lang w:eastAsia="es-CO"/>
              </w:rPr>
            </w:pPr>
            <w:r w:rsidRPr="00406537">
              <w:rPr>
                <w:rFonts w:asciiTheme="majorHAnsi" w:eastAsia="Times New Roman" w:hAnsiTheme="majorHAnsi"/>
                <w:b/>
                <w:bCs/>
                <w:color w:val="000000"/>
                <w:sz w:val="18"/>
                <w:szCs w:val="18"/>
                <w:lang w:eastAsia="es-CO"/>
              </w:rPr>
              <w:t>Inversión total</w:t>
            </w:r>
          </w:p>
        </w:tc>
      </w:tr>
      <w:tr w:rsidR="00406537" w:rsidRPr="00406537" w:rsidTr="007B4700">
        <w:trPr>
          <w:trHeight w:val="20"/>
        </w:trPr>
        <w:tc>
          <w:tcPr>
            <w:cnfStyle w:val="001000000000" w:firstRow="0" w:lastRow="0" w:firstColumn="1" w:lastColumn="0" w:oddVBand="0" w:evenVBand="0" w:oddHBand="0" w:evenHBand="0" w:firstRowFirstColumn="0" w:firstRowLastColumn="0" w:lastRowFirstColumn="0" w:lastRowLastColumn="0"/>
            <w:tcW w:w="855" w:type="pct"/>
            <w:tcBorders>
              <w:left w:val="none" w:sz="0" w:space="0" w:color="auto"/>
            </w:tcBorders>
            <w:vAlign w:val="center"/>
            <w:hideMark/>
          </w:tcPr>
          <w:p w:rsidR="00406537" w:rsidRPr="00406537" w:rsidRDefault="00406537" w:rsidP="007B4700">
            <w:pPr>
              <w:spacing w:line="240" w:lineRule="auto"/>
              <w:contextualSpacing w:val="0"/>
              <w:jc w:val="center"/>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Pastos limpios</w:t>
            </w:r>
          </w:p>
        </w:tc>
        <w:tc>
          <w:tcPr>
            <w:tcW w:w="1167" w:type="pct"/>
            <w:gridSpan w:val="2"/>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38,15</w:t>
            </w:r>
          </w:p>
        </w:tc>
        <w:tc>
          <w:tcPr>
            <w:tcW w:w="1401" w:type="pct"/>
            <w:gridSpan w:val="2"/>
            <w:vMerge w:val="restart"/>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629.145</w:t>
            </w:r>
          </w:p>
        </w:tc>
        <w:tc>
          <w:tcPr>
            <w:tcW w:w="1577" w:type="pct"/>
            <w:gridSpan w:val="2"/>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24.001.886</w:t>
            </w:r>
          </w:p>
        </w:tc>
      </w:tr>
      <w:tr w:rsidR="00406537" w:rsidRPr="00406537" w:rsidTr="007B4700">
        <w:trPr>
          <w:trHeight w:val="20"/>
        </w:trPr>
        <w:tc>
          <w:tcPr>
            <w:cnfStyle w:val="001000000000" w:firstRow="0" w:lastRow="0" w:firstColumn="1" w:lastColumn="0" w:oddVBand="0" w:evenVBand="0" w:oddHBand="0" w:evenHBand="0" w:firstRowFirstColumn="0" w:firstRowLastColumn="0" w:lastRowFirstColumn="0" w:lastRowLastColumn="0"/>
            <w:tcW w:w="855" w:type="pct"/>
            <w:tcBorders>
              <w:left w:val="none" w:sz="0" w:space="0" w:color="auto"/>
            </w:tcBorders>
            <w:vAlign w:val="center"/>
            <w:hideMark/>
          </w:tcPr>
          <w:p w:rsidR="00406537" w:rsidRPr="00406537" w:rsidRDefault="00406537" w:rsidP="007B4700">
            <w:pPr>
              <w:spacing w:line="240" w:lineRule="auto"/>
              <w:contextualSpacing w:val="0"/>
              <w:jc w:val="center"/>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Pastos arbolados</w:t>
            </w:r>
          </w:p>
        </w:tc>
        <w:tc>
          <w:tcPr>
            <w:tcW w:w="1167" w:type="pct"/>
            <w:gridSpan w:val="2"/>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6,70</w:t>
            </w:r>
          </w:p>
        </w:tc>
        <w:tc>
          <w:tcPr>
            <w:tcW w:w="1401" w:type="pct"/>
            <w:gridSpan w:val="2"/>
            <w:vMerge/>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p>
        </w:tc>
        <w:tc>
          <w:tcPr>
            <w:tcW w:w="1577" w:type="pct"/>
            <w:gridSpan w:val="2"/>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4.215.272</w:t>
            </w:r>
          </w:p>
        </w:tc>
      </w:tr>
      <w:tr w:rsidR="00406537" w:rsidRPr="00406537" w:rsidTr="007B4700">
        <w:trPr>
          <w:trHeight w:val="20"/>
        </w:trPr>
        <w:tc>
          <w:tcPr>
            <w:cnfStyle w:val="001000000000" w:firstRow="0" w:lastRow="0" w:firstColumn="1" w:lastColumn="0" w:oddVBand="0" w:evenVBand="0" w:oddHBand="0" w:evenHBand="0" w:firstRowFirstColumn="0" w:firstRowLastColumn="0" w:lastRowFirstColumn="0" w:lastRowLastColumn="0"/>
            <w:tcW w:w="855" w:type="pct"/>
            <w:tcBorders>
              <w:left w:val="none" w:sz="0" w:space="0" w:color="auto"/>
            </w:tcBorders>
            <w:vAlign w:val="center"/>
            <w:hideMark/>
          </w:tcPr>
          <w:p w:rsidR="00406537" w:rsidRPr="00406537" w:rsidRDefault="00406537" w:rsidP="007B4700">
            <w:pPr>
              <w:spacing w:line="240" w:lineRule="auto"/>
              <w:contextualSpacing w:val="0"/>
              <w:jc w:val="center"/>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Zonas quemadas</w:t>
            </w:r>
          </w:p>
        </w:tc>
        <w:tc>
          <w:tcPr>
            <w:tcW w:w="1167" w:type="pct"/>
            <w:gridSpan w:val="2"/>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0,93</w:t>
            </w:r>
          </w:p>
        </w:tc>
        <w:tc>
          <w:tcPr>
            <w:tcW w:w="1401" w:type="pct"/>
            <w:gridSpan w:val="2"/>
            <w:vMerge/>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p>
        </w:tc>
        <w:tc>
          <w:tcPr>
            <w:tcW w:w="1577" w:type="pct"/>
            <w:gridSpan w:val="2"/>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585.105</w:t>
            </w:r>
          </w:p>
        </w:tc>
      </w:tr>
      <w:tr w:rsidR="00406537" w:rsidRPr="00406537" w:rsidTr="007B4700">
        <w:trPr>
          <w:trHeight w:val="20"/>
        </w:trPr>
        <w:tc>
          <w:tcPr>
            <w:cnfStyle w:val="001000000000" w:firstRow="0" w:lastRow="0" w:firstColumn="1" w:lastColumn="0" w:oddVBand="0" w:evenVBand="0" w:oddHBand="0" w:evenHBand="0" w:firstRowFirstColumn="0" w:firstRowLastColumn="0" w:lastRowFirstColumn="0" w:lastRowLastColumn="0"/>
            <w:tcW w:w="855" w:type="pct"/>
            <w:tcBorders>
              <w:left w:val="none" w:sz="0" w:space="0" w:color="auto"/>
            </w:tcBorders>
            <w:vAlign w:val="center"/>
            <w:hideMark/>
          </w:tcPr>
          <w:p w:rsidR="00406537" w:rsidRPr="00406537" w:rsidRDefault="00406537" w:rsidP="007B4700">
            <w:pPr>
              <w:spacing w:line="240" w:lineRule="auto"/>
              <w:contextualSpacing w:val="0"/>
              <w:jc w:val="center"/>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 xml:space="preserve">Total </w:t>
            </w:r>
          </w:p>
        </w:tc>
        <w:tc>
          <w:tcPr>
            <w:tcW w:w="1167" w:type="pct"/>
            <w:gridSpan w:val="2"/>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45,78</w:t>
            </w:r>
          </w:p>
        </w:tc>
        <w:tc>
          <w:tcPr>
            <w:tcW w:w="1401" w:type="pct"/>
            <w:gridSpan w:val="2"/>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 </w:t>
            </w:r>
          </w:p>
        </w:tc>
        <w:tc>
          <w:tcPr>
            <w:tcW w:w="1577" w:type="pct"/>
            <w:gridSpan w:val="2"/>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28.802.263</w:t>
            </w:r>
          </w:p>
        </w:tc>
      </w:tr>
      <w:tr w:rsidR="00406537" w:rsidRPr="00406537" w:rsidTr="007B4700">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tcBorders>
              <w:left w:val="none" w:sz="0" w:space="0" w:color="auto"/>
            </w:tcBorders>
            <w:vAlign w:val="center"/>
            <w:hideMark/>
          </w:tcPr>
          <w:p w:rsidR="00406537" w:rsidRPr="00406537" w:rsidRDefault="00406537" w:rsidP="007B4700">
            <w:pPr>
              <w:spacing w:line="240" w:lineRule="auto"/>
              <w:contextualSpacing w:val="0"/>
              <w:jc w:val="center"/>
              <w:rPr>
                <w:rFonts w:asciiTheme="majorHAnsi" w:eastAsia="Times New Roman" w:hAnsiTheme="majorHAnsi"/>
                <w:b/>
                <w:bCs/>
                <w:color w:val="000000"/>
                <w:sz w:val="18"/>
                <w:szCs w:val="18"/>
                <w:lang w:eastAsia="es-CO"/>
              </w:rPr>
            </w:pPr>
            <w:r w:rsidRPr="00406537">
              <w:rPr>
                <w:rFonts w:asciiTheme="majorHAnsi" w:eastAsia="Times New Roman" w:hAnsiTheme="majorHAnsi"/>
                <w:b/>
                <w:bCs/>
                <w:color w:val="000000"/>
                <w:sz w:val="18"/>
                <w:szCs w:val="18"/>
                <w:lang w:eastAsia="es-CO"/>
              </w:rPr>
              <w:t>Afectación de la actividad ganadera</w:t>
            </w:r>
          </w:p>
        </w:tc>
      </w:tr>
      <w:tr w:rsidR="00406537" w:rsidRPr="00406537" w:rsidTr="007B4700">
        <w:trPr>
          <w:trHeight w:val="20"/>
        </w:trPr>
        <w:tc>
          <w:tcPr>
            <w:cnfStyle w:val="001000000000" w:firstRow="0" w:lastRow="0" w:firstColumn="1" w:lastColumn="0" w:oddVBand="0" w:evenVBand="0" w:oddHBand="0" w:evenHBand="0" w:firstRowFirstColumn="0" w:firstRowLastColumn="0" w:lastRowFirstColumn="0" w:lastRowLastColumn="0"/>
            <w:tcW w:w="3423" w:type="pct"/>
            <w:gridSpan w:val="5"/>
            <w:tcBorders>
              <w:left w:val="none" w:sz="0" w:space="0" w:color="auto"/>
            </w:tcBorders>
            <w:vAlign w:val="center"/>
            <w:hideMark/>
          </w:tcPr>
          <w:p w:rsidR="00406537" w:rsidRPr="00406537" w:rsidRDefault="00406537" w:rsidP="007B4700">
            <w:pPr>
              <w:spacing w:line="240" w:lineRule="auto"/>
              <w:contextualSpacing w:val="0"/>
              <w:jc w:val="center"/>
              <w:rPr>
                <w:rFonts w:asciiTheme="majorHAnsi" w:eastAsia="Times New Roman" w:hAnsiTheme="majorHAnsi"/>
                <w:b/>
                <w:bCs/>
                <w:color w:val="000000"/>
                <w:sz w:val="18"/>
                <w:szCs w:val="18"/>
                <w:lang w:eastAsia="es-CO"/>
              </w:rPr>
            </w:pPr>
            <w:r w:rsidRPr="00406537">
              <w:rPr>
                <w:rFonts w:asciiTheme="majorHAnsi" w:eastAsia="Times New Roman" w:hAnsiTheme="majorHAnsi"/>
                <w:b/>
                <w:bCs/>
                <w:color w:val="000000"/>
                <w:sz w:val="18"/>
                <w:szCs w:val="18"/>
                <w:lang w:eastAsia="es-CO"/>
              </w:rPr>
              <w:t>Cabezas de ganado</w:t>
            </w:r>
          </w:p>
        </w:tc>
        <w:tc>
          <w:tcPr>
            <w:tcW w:w="1577" w:type="pct"/>
            <w:gridSpan w:val="2"/>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000000"/>
                <w:sz w:val="18"/>
                <w:szCs w:val="18"/>
                <w:lang w:eastAsia="es-CO"/>
              </w:rPr>
            </w:pPr>
            <w:r w:rsidRPr="00406537">
              <w:rPr>
                <w:rFonts w:asciiTheme="majorHAnsi" w:eastAsia="Times New Roman" w:hAnsiTheme="majorHAnsi"/>
                <w:b/>
                <w:bCs/>
                <w:color w:val="000000"/>
                <w:sz w:val="18"/>
                <w:szCs w:val="18"/>
                <w:lang w:eastAsia="es-CO"/>
              </w:rPr>
              <w:t>Valor producción existente</w:t>
            </w:r>
          </w:p>
        </w:tc>
      </w:tr>
      <w:tr w:rsidR="00406537" w:rsidRPr="00406537" w:rsidTr="007B4700">
        <w:trPr>
          <w:trHeight w:val="20"/>
        </w:trPr>
        <w:tc>
          <w:tcPr>
            <w:cnfStyle w:val="001000000000" w:firstRow="0" w:lastRow="0" w:firstColumn="1" w:lastColumn="0" w:oddVBand="0" w:evenVBand="0" w:oddHBand="0" w:evenHBand="0" w:firstRowFirstColumn="0" w:firstRowLastColumn="0" w:lastRowFirstColumn="0" w:lastRowLastColumn="0"/>
            <w:tcW w:w="855" w:type="pct"/>
            <w:tcBorders>
              <w:left w:val="none" w:sz="0" w:space="0" w:color="auto"/>
            </w:tcBorders>
            <w:vAlign w:val="center"/>
            <w:hideMark/>
          </w:tcPr>
          <w:p w:rsidR="00406537" w:rsidRPr="00406537" w:rsidRDefault="00406537" w:rsidP="007B4700">
            <w:pPr>
              <w:spacing w:line="240" w:lineRule="auto"/>
              <w:contextualSpacing w:val="0"/>
              <w:jc w:val="center"/>
              <w:rPr>
                <w:rFonts w:asciiTheme="majorHAnsi" w:eastAsia="Times New Roman" w:hAnsiTheme="majorHAnsi"/>
                <w:b/>
                <w:bCs/>
                <w:color w:val="000000"/>
                <w:sz w:val="18"/>
                <w:szCs w:val="18"/>
                <w:lang w:eastAsia="es-CO"/>
              </w:rPr>
            </w:pPr>
            <w:r w:rsidRPr="00406537">
              <w:rPr>
                <w:rFonts w:asciiTheme="majorHAnsi" w:eastAsia="Times New Roman" w:hAnsiTheme="majorHAnsi"/>
                <w:b/>
                <w:bCs/>
                <w:color w:val="000000"/>
                <w:sz w:val="18"/>
                <w:szCs w:val="18"/>
                <w:lang w:eastAsia="es-CO"/>
              </w:rPr>
              <w:t>Ganadería de Carne</w:t>
            </w:r>
          </w:p>
        </w:tc>
        <w:tc>
          <w:tcPr>
            <w:tcW w:w="687" w:type="pct"/>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000000"/>
                <w:sz w:val="18"/>
                <w:szCs w:val="18"/>
                <w:lang w:eastAsia="es-CO"/>
              </w:rPr>
            </w:pPr>
            <w:r w:rsidRPr="00406537">
              <w:rPr>
                <w:rFonts w:asciiTheme="majorHAnsi" w:eastAsia="Times New Roman" w:hAnsiTheme="majorHAnsi"/>
                <w:b/>
                <w:bCs/>
                <w:color w:val="000000"/>
                <w:sz w:val="18"/>
                <w:szCs w:val="18"/>
                <w:lang w:eastAsia="es-CO"/>
              </w:rPr>
              <w:t>No animales (UGG)***</w:t>
            </w:r>
          </w:p>
        </w:tc>
        <w:tc>
          <w:tcPr>
            <w:tcW w:w="996" w:type="pct"/>
            <w:gridSpan w:val="2"/>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000000"/>
                <w:sz w:val="18"/>
                <w:szCs w:val="18"/>
                <w:lang w:eastAsia="es-CO"/>
              </w:rPr>
            </w:pPr>
            <w:r w:rsidRPr="00406537">
              <w:rPr>
                <w:rFonts w:asciiTheme="majorHAnsi" w:eastAsia="Times New Roman" w:hAnsiTheme="majorHAnsi"/>
                <w:b/>
                <w:bCs/>
                <w:color w:val="000000"/>
                <w:sz w:val="18"/>
                <w:szCs w:val="18"/>
                <w:lang w:eastAsia="es-CO"/>
              </w:rPr>
              <w:t>Peso Promedio (Kg.)</w:t>
            </w:r>
          </w:p>
        </w:tc>
        <w:tc>
          <w:tcPr>
            <w:tcW w:w="885" w:type="pct"/>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000000"/>
                <w:sz w:val="18"/>
                <w:szCs w:val="18"/>
                <w:lang w:eastAsia="es-CO"/>
              </w:rPr>
            </w:pPr>
            <w:r w:rsidRPr="00406537">
              <w:rPr>
                <w:rFonts w:asciiTheme="majorHAnsi" w:eastAsia="Times New Roman" w:hAnsiTheme="majorHAnsi"/>
                <w:b/>
                <w:bCs/>
                <w:color w:val="000000"/>
                <w:sz w:val="18"/>
                <w:szCs w:val="18"/>
                <w:lang w:eastAsia="es-CO"/>
              </w:rPr>
              <w:t>Valor animal en pie (kg</w:t>
            </w:r>
            <w:r w:rsidR="003D2A91" w:rsidRPr="00406537">
              <w:rPr>
                <w:rFonts w:asciiTheme="majorHAnsi" w:eastAsia="Times New Roman" w:hAnsiTheme="majorHAnsi"/>
                <w:b/>
                <w:bCs/>
                <w:color w:val="000000"/>
                <w:sz w:val="18"/>
                <w:szCs w:val="18"/>
                <w:lang w:eastAsia="es-CO"/>
              </w:rPr>
              <w:t>.) *</w:t>
            </w:r>
            <w:r w:rsidRPr="00406537">
              <w:rPr>
                <w:rFonts w:asciiTheme="majorHAnsi" w:eastAsia="Times New Roman" w:hAnsiTheme="majorHAnsi"/>
                <w:b/>
                <w:bCs/>
                <w:color w:val="000000"/>
                <w:sz w:val="18"/>
                <w:szCs w:val="18"/>
                <w:lang w:eastAsia="es-CO"/>
              </w:rPr>
              <w:t>**</w:t>
            </w:r>
          </w:p>
        </w:tc>
        <w:tc>
          <w:tcPr>
            <w:tcW w:w="716" w:type="pct"/>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000000"/>
                <w:sz w:val="18"/>
                <w:szCs w:val="18"/>
                <w:lang w:eastAsia="es-CO"/>
              </w:rPr>
            </w:pPr>
            <w:r w:rsidRPr="00406537">
              <w:rPr>
                <w:rFonts w:asciiTheme="majorHAnsi" w:eastAsia="Times New Roman" w:hAnsiTheme="majorHAnsi"/>
                <w:b/>
                <w:bCs/>
                <w:color w:val="000000"/>
                <w:sz w:val="18"/>
                <w:szCs w:val="18"/>
                <w:lang w:eastAsia="es-CO"/>
              </w:rPr>
              <w:t>Utilidad por animal ($)</w:t>
            </w:r>
          </w:p>
        </w:tc>
        <w:tc>
          <w:tcPr>
            <w:tcW w:w="861" w:type="pct"/>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000000"/>
                <w:sz w:val="18"/>
                <w:szCs w:val="18"/>
                <w:lang w:eastAsia="es-CO"/>
              </w:rPr>
            </w:pPr>
            <w:r w:rsidRPr="00406537">
              <w:rPr>
                <w:rFonts w:asciiTheme="majorHAnsi" w:eastAsia="Times New Roman" w:hAnsiTheme="majorHAnsi"/>
                <w:b/>
                <w:bCs/>
                <w:color w:val="000000"/>
                <w:sz w:val="18"/>
                <w:szCs w:val="18"/>
                <w:lang w:eastAsia="es-CO"/>
              </w:rPr>
              <w:t>Valor total pesos ($))</w:t>
            </w:r>
          </w:p>
        </w:tc>
      </w:tr>
      <w:tr w:rsidR="00406537" w:rsidRPr="00406537" w:rsidTr="007B4700">
        <w:trPr>
          <w:trHeight w:val="20"/>
        </w:trPr>
        <w:tc>
          <w:tcPr>
            <w:cnfStyle w:val="001000000000" w:firstRow="0" w:lastRow="0" w:firstColumn="1" w:lastColumn="0" w:oddVBand="0" w:evenVBand="0" w:oddHBand="0" w:evenHBand="0" w:firstRowFirstColumn="0" w:firstRowLastColumn="0" w:lastRowFirstColumn="0" w:lastRowLastColumn="0"/>
            <w:tcW w:w="855" w:type="pct"/>
            <w:tcBorders>
              <w:left w:val="none" w:sz="0" w:space="0" w:color="auto"/>
            </w:tcBorders>
            <w:vAlign w:val="center"/>
            <w:hideMark/>
          </w:tcPr>
          <w:p w:rsidR="00406537" w:rsidRPr="00406537" w:rsidRDefault="00406537" w:rsidP="007B4700">
            <w:pPr>
              <w:spacing w:line="240" w:lineRule="auto"/>
              <w:contextualSpacing w:val="0"/>
              <w:jc w:val="center"/>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Cría</w:t>
            </w:r>
          </w:p>
        </w:tc>
        <w:tc>
          <w:tcPr>
            <w:tcW w:w="687" w:type="pct"/>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37</w:t>
            </w:r>
          </w:p>
        </w:tc>
        <w:tc>
          <w:tcPr>
            <w:tcW w:w="996" w:type="pct"/>
            <w:gridSpan w:val="2"/>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450</w:t>
            </w:r>
          </w:p>
        </w:tc>
        <w:tc>
          <w:tcPr>
            <w:tcW w:w="885" w:type="pct"/>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4.000</w:t>
            </w:r>
          </w:p>
        </w:tc>
        <w:tc>
          <w:tcPr>
            <w:tcW w:w="716" w:type="pct"/>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1.800.000</w:t>
            </w:r>
          </w:p>
        </w:tc>
        <w:tc>
          <w:tcPr>
            <w:tcW w:w="861" w:type="pct"/>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65.923.200</w:t>
            </w:r>
          </w:p>
        </w:tc>
      </w:tr>
      <w:tr w:rsidR="00406537" w:rsidRPr="00406537" w:rsidTr="007B4700">
        <w:trPr>
          <w:trHeight w:val="20"/>
        </w:trPr>
        <w:tc>
          <w:tcPr>
            <w:cnfStyle w:val="001000000000" w:firstRow="0" w:lastRow="0" w:firstColumn="1" w:lastColumn="0" w:oddVBand="0" w:evenVBand="0" w:oddHBand="0" w:evenHBand="0" w:firstRowFirstColumn="0" w:firstRowLastColumn="0" w:lastRowFirstColumn="0" w:lastRowLastColumn="0"/>
            <w:tcW w:w="855" w:type="pct"/>
            <w:tcBorders>
              <w:left w:val="none" w:sz="0" w:space="0" w:color="auto"/>
            </w:tcBorders>
            <w:vAlign w:val="center"/>
            <w:hideMark/>
          </w:tcPr>
          <w:p w:rsidR="00406537" w:rsidRPr="00406537" w:rsidRDefault="00406537" w:rsidP="007B4700">
            <w:pPr>
              <w:spacing w:line="240" w:lineRule="auto"/>
              <w:contextualSpacing w:val="0"/>
              <w:jc w:val="center"/>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Ceba</w:t>
            </w:r>
          </w:p>
        </w:tc>
        <w:tc>
          <w:tcPr>
            <w:tcW w:w="687" w:type="pct"/>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78</w:t>
            </w:r>
          </w:p>
        </w:tc>
        <w:tc>
          <w:tcPr>
            <w:tcW w:w="996" w:type="pct"/>
            <w:gridSpan w:val="2"/>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450</w:t>
            </w:r>
          </w:p>
        </w:tc>
        <w:tc>
          <w:tcPr>
            <w:tcW w:w="885" w:type="pct"/>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4.000</w:t>
            </w:r>
          </w:p>
        </w:tc>
        <w:tc>
          <w:tcPr>
            <w:tcW w:w="716" w:type="pct"/>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1.800.000</w:t>
            </w:r>
          </w:p>
        </w:tc>
        <w:tc>
          <w:tcPr>
            <w:tcW w:w="861" w:type="pct"/>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140.086.800</w:t>
            </w:r>
          </w:p>
        </w:tc>
      </w:tr>
      <w:tr w:rsidR="00406537" w:rsidRPr="00406537" w:rsidTr="007B4700">
        <w:trPr>
          <w:trHeight w:val="20"/>
        </w:trPr>
        <w:tc>
          <w:tcPr>
            <w:cnfStyle w:val="001000000000" w:firstRow="0" w:lastRow="0" w:firstColumn="1" w:lastColumn="0" w:oddVBand="0" w:evenVBand="0" w:oddHBand="0" w:evenHBand="0" w:firstRowFirstColumn="0" w:firstRowLastColumn="0" w:lastRowFirstColumn="0" w:lastRowLastColumn="0"/>
            <w:tcW w:w="855" w:type="pct"/>
            <w:tcBorders>
              <w:left w:val="none" w:sz="0" w:space="0" w:color="auto"/>
            </w:tcBorders>
            <w:vAlign w:val="center"/>
            <w:hideMark/>
          </w:tcPr>
          <w:p w:rsidR="00406537" w:rsidRPr="00406537" w:rsidRDefault="00406537" w:rsidP="007B4700">
            <w:pPr>
              <w:spacing w:line="240" w:lineRule="auto"/>
              <w:contextualSpacing w:val="0"/>
              <w:jc w:val="center"/>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Doble Propósito</w:t>
            </w:r>
          </w:p>
        </w:tc>
        <w:tc>
          <w:tcPr>
            <w:tcW w:w="687" w:type="pct"/>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60</w:t>
            </w:r>
          </w:p>
        </w:tc>
        <w:tc>
          <w:tcPr>
            <w:tcW w:w="996" w:type="pct"/>
            <w:gridSpan w:val="2"/>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450</w:t>
            </w:r>
          </w:p>
        </w:tc>
        <w:tc>
          <w:tcPr>
            <w:tcW w:w="885" w:type="pct"/>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4.000</w:t>
            </w:r>
          </w:p>
        </w:tc>
        <w:tc>
          <w:tcPr>
            <w:tcW w:w="716" w:type="pct"/>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1.800.000</w:t>
            </w:r>
          </w:p>
        </w:tc>
        <w:tc>
          <w:tcPr>
            <w:tcW w:w="861" w:type="pct"/>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107.125.200</w:t>
            </w:r>
          </w:p>
        </w:tc>
      </w:tr>
      <w:tr w:rsidR="00406537" w:rsidRPr="00406537" w:rsidTr="007B4700">
        <w:trPr>
          <w:trHeight w:val="20"/>
        </w:trPr>
        <w:tc>
          <w:tcPr>
            <w:cnfStyle w:val="001000000000" w:firstRow="0" w:lastRow="0" w:firstColumn="1" w:lastColumn="0" w:oddVBand="0" w:evenVBand="0" w:oddHBand="0" w:evenHBand="0" w:firstRowFirstColumn="0" w:firstRowLastColumn="0" w:lastRowFirstColumn="0" w:lastRowLastColumn="0"/>
            <w:tcW w:w="855" w:type="pct"/>
            <w:tcBorders>
              <w:left w:val="none" w:sz="0" w:space="0" w:color="auto"/>
            </w:tcBorders>
            <w:vAlign w:val="center"/>
            <w:hideMark/>
          </w:tcPr>
          <w:p w:rsidR="00406537" w:rsidRPr="00406537" w:rsidRDefault="00406537" w:rsidP="007B4700">
            <w:pPr>
              <w:spacing w:line="240" w:lineRule="auto"/>
              <w:contextualSpacing w:val="0"/>
              <w:jc w:val="center"/>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 xml:space="preserve">Total </w:t>
            </w:r>
          </w:p>
        </w:tc>
        <w:tc>
          <w:tcPr>
            <w:tcW w:w="687" w:type="pct"/>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174</w:t>
            </w:r>
          </w:p>
        </w:tc>
        <w:tc>
          <w:tcPr>
            <w:tcW w:w="996" w:type="pct"/>
            <w:gridSpan w:val="2"/>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 </w:t>
            </w:r>
          </w:p>
        </w:tc>
        <w:tc>
          <w:tcPr>
            <w:tcW w:w="885" w:type="pct"/>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 </w:t>
            </w:r>
          </w:p>
        </w:tc>
        <w:tc>
          <w:tcPr>
            <w:tcW w:w="716" w:type="pct"/>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 </w:t>
            </w:r>
          </w:p>
        </w:tc>
        <w:tc>
          <w:tcPr>
            <w:tcW w:w="861" w:type="pct"/>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313.135.200</w:t>
            </w:r>
          </w:p>
        </w:tc>
      </w:tr>
      <w:tr w:rsidR="00406537" w:rsidRPr="00406537" w:rsidTr="007B4700">
        <w:trPr>
          <w:trHeight w:val="20"/>
        </w:trPr>
        <w:tc>
          <w:tcPr>
            <w:cnfStyle w:val="001000000000" w:firstRow="0" w:lastRow="0" w:firstColumn="1" w:lastColumn="0" w:oddVBand="0" w:evenVBand="0" w:oddHBand="0" w:evenHBand="0" w:firstRowFirstColumn="0" w:firstRowLastColumn="0" w:lastRowFirstColumn="0" w:lastRowLastColumn="0"/>
            <w:tcW w:w="855" w:type="pct"/>
            <w:tcBorders>
              <w:left w:val="none" w:sz="0" w:space="0" w:color="auto"/>
            </w:tcBorders>
            <w:vAlign w:val="center"/>
            <w:hideMark/>
          </w:tcPr>
          <w:p w:rsidR="00406537" w:rsidRPr="00406537" w:rsidRDefault="00406537" w:rsidP="007B4700">
            <w:pPr>
              <w:spacing w:line="240" w:lineRule="auto"/>
              <w:contextualSpacing w:val="0"/>
              <w:jc w:val="center"/>
              <w:rPr>
                <w:rFonts w:asciiTheme="majorHAnsi" w:eastAsia="Times New Roman" w:hAnsiTheme="majorHAnsi"/>
                <w:b/>
                <w:bCs/>
                <w:color w:val="000000"/>
                <w:sz w:val="18"/>
                <w:szCs w:val="18"/>
                <w:lang w:eastAsia="es-CO"/>
              </w:rPr>
            </w:pPr>
            <w:r w:rsidRPr="00406537">
              <w:rPr>
                <w:rFonts w:asciiTheme="majorHAnsi" w:eastAsia="Times New Roman" w:hAnsiTheme="majorHAnsi"/>
                <w:b/>
                <w:bCs/>
                <w:color w:val="000000"/>
                <w:sz w:val="18"/>
                <w:szCs w:val="18"/>
                <w:lang w:eastAsia="es-CO"/>
              </w:rPr>
              <w:t>Ganadería de Leche</w:t>
            </w:r>
          </w:p>
        </w:tc>
        <w:tc>
          <w:tcPr>
            <w:tcW w:w="687" w:type="pct"/>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000000"/>
                <w:sz w:val="18"/>
                <w:szCs w:val="18"/>
                <w:lang w:eastAsia="es-CO"/>
              </w:rPr>
            </w:pPr>
            <w:r w:rsidRPr="00406537">
              <w:rPr>
                <w:rFonts w:asciiTheme="majorHAnsi" w:eastAsia="Times New Roman" w:hAnsiTheme="majorHAnsi"/>
                <w:b/>
                <w:bCs/>
                <w:color w:val="000000"/>
                <w:sz w:val="18"/>
                <w:szCs w:val="18"/>
                <w:lang w:eastAsia="es-CO"/>
              </w:rPr>
              <w:t> </w:t>
            </w:r>
          </w:p>
        </w:tc>
        <w:tc>
          <w:tcPr>
            <w:tcW w:w="996" w:type="pct"/>
            <w:gridSpan w:val="2"/>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000000"/>
                <w:sz w:val="18"/>
                <w:szCs w:val="18"/>
                <w:lang w:eastAsia="es-CO"/>
              </w:rPr>
            </w:pPr>
            <w:r w:rsidRPr="00406537">
              <w:rPr>
                <w:rFonts w:asciiTheme="majorHAnsi" w:eastAsia="Times New Roman" w:hAnsiTheme="majorHAnsi"/>
                <w:b/>
                <w:bCs/>
                <w:color w:val="000000"/>
                <w:sz w:val="18"/>
                <w:szCs w:val="18"/>
                <w:lang w:eastAsia="es-CO"/>
              </w:rPr>
              <w:t>Producción promedio Litros (Vaca/dia.) ***</w:t>
            </w:r>
          </w:p>
        </w:tc>
        <w:tc>
          <w:tcPr>
            <w:tcW w:w="885" w:type="pct"/>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000000"/>
                <w:sz w:val="18"/>
                <w:szCs w:val="18"/>
                <w:lang w:eastAsia="es-CO"/>
              </w:rPr>
            </w:pPr>
            <w:r w:rsidRPr="00406537">
              <w:rPr>
                <w:rFonts w:asciiTheme="majorHAnsi" w:eastAsia="Times New Roman" w:hAnsiTheme="majorHAnsi"/>
                <w:b/>
                <w:bCs/>
                <w:color w:val="000000"/>
                <w:sz w:val="18"/>
                <w:szCs w:val="18"/>
                <w:lang w:eastAsia="es-CO"/>
              </w:rPr>
              <w:t>Producción total (lit.)</w:t>
            </w:r>
          </w:p>
        </w:tc>
        <w:tc>
          <w:tcPr>
            <w:tcW w:w="716" w:type="pct"/>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000000"/>
                <w:sz w:val="18"/>
                <w:szCs w:val="18"/>
                <w:lang w:eastAsia="es-CO"/>
              </w:rPr>
            </w:pPr>
            <w:r w:rsidRPr="00406537">
              <w:rPr>
                <w:rFonts w:asciiTheme="majorHAnsi" w:eastAsia="Times New Roman" w:hAnsiTheme="majorHAnsi"/>
                <w:b/>
                <w:bCs/>
                <w:color w:val="000000"/>
                <w:sz w:val="18"/>
                <w:szCs w:val="18"/>
                <w:lang w:eastAsia="es-CO"/>
              </w:rPr>
              <w:t>Valor litro leche ($) ***</w:t>
            </w:r>
          </w:p>
        </w:tc>
        <w:tc>
          <w:tcPr>
            <w:tcW w:w="861" w:type="pct"/>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000000"/>
                <w:sz w:val="18"/>
                <w:szCs w:val="18"/>
                <w:lang w:eastAsia="es-CO"/>
              </w:rPr>
            </w:pPr>
            <w:r w:rsidRPr="00406537">
              <w:rPr>
                <w:rFonts w:asciiTheme="majorHAnsi" w:eastAsia="Times New Roman" w:hAnsiTheme="majorHAnsi"/>
                <w:b/>
                <w:bCs/>
                <w:color w:val="000000"/>
                <w:sz w:val="18"/>
                <w:szCs w:val="18"/>
                <w:lang w:eastAsia="es-CO"/>
              </w:rPr>
              <w:t>Valor total pesos año ($)</w:t>
            </w:r>
          </w:p>
        </w:tc>
      </w:tr>
      <w:tr w:rsidR="00406537" w:rsidRPr="00406537" w:rsidTr="007B4700">
        <w:trPr>
          <w:trHeight w:val="20"/>
        </w:trPr>
        <w:tc>
          <w:tcPr>
            <w:cnfStyle w:val="001000000000" w:firstRow="0" w:lastRow="0" w:firstColumn="1" w:lastColumn="0" w:oddVBand="0" w:evenVBand="0" w:oddHBand="0" w:evenHBand="0" w:firstRowFirstColumn="0" w:firstRowLastColumn="0" w:lastRowFirstColumn="0" w:lastRowLastColumn="0"/>
            <w:tcW w:w="855" w:type="pct"/>
            <w:tcBorders>
              <w:left w:val="none" w:sz="0" w:space="0" w:color="auto"/>
            </w:tcBorders>
            <w:vAlign w:val="center"/>
            <w:hideMark/>
          </w:tcPr>
          <w:p w:rsidR="00406537" w:rsidRPr="00406537" w:rsidRDefault="00406537" w:rsidP="007B4700">
            <w:pPr>
              <w:spacing w:line="240" w:lineRule="auto"/>
              <w:contextualSpacing w:val="0"/>
              <w:jc w:val="center"/>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Leche</w:t>
            </w:r>
          </w:p>
        </w:tc>
        <w:tc>
          <w:tcPr>
            <w:tcW w:w="687" w:type="pct"/>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101</w:t>
            </w:r>
          </w:p>
        </w:tc>
        <w:tc>
          <w:tcPr>
            <w:tcW w:w="996" w:type="pct"/>
            <w:gridSpan w:val="2"/>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8"/>
                <w:szCs w:val="18"/>
                <w:lang w:eastAsia="es-CO"/>
              </w:rPr>
            </w:pPr>
            <w:r w:rsidRPr="00406537">
              <w:rPr>
                <w:rFonts w:asciiTheme="majorHAnsi" w:eastAsia="Times New Roman" w:hAnsiTheme="majorHAnsi"/>
                <w:sz w:val="18"/>
                <w:szCs w:val="18"/>
                <w:lang w:eastAsia="es-CO"/>
              </w:rPr>
              <w:t>14</w:t>
            </w:r>
          </w:p>
        </w:tc>
        <w:tc>
          <w:tcPr>
            <w:tcW w:w="885" w:type="pct"/>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1.410</w:t>
            </w:r>
          </w:p>
        </w:tc>
        <w:tc>
          <w:tcPr>
            <w:tcW w:w="716" w:type="pct"/>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950</w:t>
            </w:r>
          </w:p>
        </w:tc>
        <w:tc>
          <w:tcPr>
            <w:tcW w:w="861" w:type="pct"/>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361.671.156</w:t>
            </w:r>
          </w:p>
        </w:tc>
      </w:tr>
      <w:tr w:rsidR="00406537" w:rsidRPr="00406537" w:rsidTr="007B4700">
        <w:trPr>
          <w:trHeight w:val="20"/>
        </w:trPr>
        <w:tc>
          <w:tcPr>
            <w:cnfStyle w:val="001000000000" w:firstRow="0" w:lastRow="0" w:firstColumn="1" w:lastColumn="0" w:oddVBand="0" w:evenVBand="0" w:oddHBand="0" w:evenHBand="0" w:firstRowFirstColumn="0" w:firstRowLastColumn="0" w:lastRowFirstColumn="0" w:lastRowLastColumn="0"/>
            <w:tcW w:w="855" w:type="pct"/>
            <w:tcBorders>
              <w:left w:val="none" w:sz="0" w:space="0" w:color="auto"/>
            </w:tcBorders>
            <w:vAlign w:val="center"/>
            <w:hideMark/>
          </w:tcPr>
          <w:p w:rsidR="00406537" w:rsidRPr="00406537" w:rsidRDefault="00406537" w:rsidP="007B4700">
            <w:pPr>
              <w:spacing w:line="240" w:lineRule="auto"/>
              <w:contextualSpacing w:val="0"/>
              <w:jc w:val="center"/>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Doble Propósito</w:t>
            </w:r>
          </w:p>
        </w:tc>
        <w:tc>
          <w:tcPr>
            <w:tcW w:w="687" w:type="pct"/>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60</w:t>
            </w:r>
          </w:p>
        </w:tc>
        <w:tc>
          <w:tcPr>
            <w:tcW w:w="996" w:type="pct"/>
            <w:gridSpan w:val="2"/>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8"/>
                <w:szCs w:val="18"/>
                <w:lang w:eastAsia="es-CO"/>
              </w:rPr>
            </w:pPr>
            <w:r w:rsidRPr="00406537">
              <w:rPr>
                <w:rFonts w:asciiTheme="majorHAnsi" w:eastAsia="Times New Roman" w:hAnsiTheme="majorHAnsi"/>
                <w:sz w:val="18"/>
                <w:szCs w:val="18"/>
                <w:lang w:eastAsia="es-CO"/>
              </w:rPr>
              <w:t>5</w:t>
            </w:r>
          </w:p>
        </w:tc>
        <w:tc>
          <w:tcPr>
            <w:tcW w:w="885" w:type="pct"/>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298</w:t>
            </w:r>
          </w:p>
        </w:tc>
        <w:tc>
          <w:tcPr>
            <w:tcW w:w="716" w:type="pct"/>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950</w:t>
            </w:r>
          </w:p>
        </w:tc>
        <w:tc>
          <w:tcPr>
            <w:tcW w:w="861" w:type="pct"/>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76.326.705</w:t>
            </w:r>
          </w:p>
        </w:tc>
      </w:tr>
      <w:tr w:rsidR="00406537" w:rsidRPr="00406537" w:rsidTr="007B4700">
        <w:trPr>
          <w:trHeight w:val="20"/>
        </w:trPr>
        <w:tc>
          <w:tcPr>
            <w:cnfStyle w:val="001000000000" w:firstRow="0" w:lastRow="0" w:firstColumn="1" w:lastColumn="0" w:oddVBand="0" w:evenVBand="0" w:oddHBand="0" w:evenHBand="0" w:firstRowFirstColumn="0" w:firstRowLastColumn="0" w:lastRowFirstColumn="0" w:lastRowLastColumn="0"/>
            <w:tcW w:w="855" w:type="pct"/>
            <w:tcBorders>
              <w:left w:val="none" w:sz="0" w:space="0" w:color="auto"/>
            </w:tcBorders>
            <w:vAlign w:val="center"/>
            <w:hideMark/>
          </w:tcPr>
          <w:p w:rsidR="00406537" w:rsidRPr="00406537" w:rsidRDefault="00406537" w:rsidP="007B4700">
            <w:pPr>
              <w:spacing w:line="240" w:lineRule="auto"/>
              <w:contextualSpacing w:val="0"/>
              <w:jc w:val="center"/>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 xml:space="preserve">Total </w:t>
            </w:r>
          </w:p>
        </w:tc>
        <w:tc>
          <w:tcPr>
            <w:tcW w:w="687" w:type="pct"/>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160</w:t>
            </w:r>
          </w:p>
        </w:tc>
        <w:tc>
          <w:tcPr>
            <w:tcW w:w="996" w:type="pct"/>
            <w:gridSpan w:val="2"/>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8"/>
                <w:szCs w:val="18"/>
                <w:lang w:eastAsia="es-CO"/>
              </w:rPr>
            </w:pPr>
            <w:r w:rsidRPr="00406537">
              <w:rPr>
                <w:rFonts w:asciiTheme="majorHAnsi" w:eastAsia="Times New Roman" w:hAnsiTheme="majorHAnsi"/>
                <w:sz w:val="18"/>
                <w:szCs w:val="18"/>
                <w:lang w:eastAsia="es-CO"/>
              </w:rPr>
              <w:t> </w:t>
            </w:r>
          </w:p>
        </w:tc>
        <w:tc>
          <w:tcPr>
            <w:tcW w:w="885" w:type="pct"/>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 </w:t>
            </w:r>
          </w:p>
        </w:tc>
        <w:tc>
          <w:tcPr>
            <w:tcW w:w="716" w:type="pct"/>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 </w:t>
            </w:r>
          </w:p>
        </w:tc>
        <w:tc>
          <w:tcPr>
            <w:tcW w:w="861" w:type="pct"/>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437.997.861</w:t>
            </w:r>
          </w:p>
        </w:tc>
      </w:tr>
      <w:tr w:rsidR="00406537" w:rsidRPr="00406537" w:rsidTr="007B4700">
        <w:trPr>
          <w:trHeight w:val="20"/>
        </w:trPr>
        <w:tc>
          <w:tcPr>
            <w:cnfStyle w:val="001000000000" w:firstRow="0" w:lastRow="0" w:firstColumn="1" w:lastColumn="0" w:oddVBand="0" w:evenVBand="0" w:oddHBand="0" w:evenHBand="0" w:firstRowFirstColumn="0" w:firstRowLastColumn="0" w:lastRowFirstColumn="0" w:lastRowLastColumn="0"/>
            <w:tcW w:w="4139" w:type="pct"/>
            <w:gridSpan w:val="6"/>
            <w:tcBorders>
              <w:left w:val="none" w:sz="0" w:space="0" w:color="auto"/>
            </w:tcBorders>
            <w:shd w:val="clear" w:color="auto" w:fill="F2F2F2" w:themeFill="background1" w:themeFillShade="F2"/>
            <w:vAlign w:val="center"/>
            <w:hideMark/>
          </w:tcPr>
          <w:p w:rsidR="00406537" w:rsidRPr="00406537" w:rsidRDefault="00406537" w:rsidP="007B4700">
            <w:pPr>
              <w:spacing w:line="240" w:lineRule="auto"/>
              <w:contextualSpacing w:val="0"/>
              <w:jc w:val="center"/>
              <w:rPr>
                <w:rFonts w:asciiTheme="majorHAnsi" w:eastAsia="Times New Roman" w:hAnsiTheme="majorHAnsi"/>
                <w:b/>
                <w:bCs/>
                <w:color w:val="000000"/>
                <w:sz w:val="18"/>
                <w:szCs w:val="18"/>
                <w:lang w:eastAsia="es-CO"/>
              </w:rPr>
            </w:pPr>
            <w:r w:rsidRPr="00406537">
              <w:rPr>
                <w:rFonts w:asciiTheme="majorHAnsi" w:eastAsia="Times New Roman" w:hAnsiTheme="majorHAnsi"/>
                <w:b/>
                <w:bCs/>
                <w:color w:val="000000"/>
                <w:sz w:val="18"/>
                <w:szCs w:val="18"/>
                <w:lang w:eastAsia="es-CO"/>
              </w:rPr>
              <w:t>Valor total pérdida en producción ganadera</w:t>
            </w:r>
          </w:p>
        </w:tc>
        <w:tc>
          <w:tcPr>
            <w:tcW w:w="861" w:type="pct"/>
            <w:shd w:val="clear" w:color="auto" w:fill="F2F2F2" w:themeFill="background1" w:themeFillShade="F2"/>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000000"/>
                <w:sz w:val="18"/>
                <w:szCs w:val="18"/>
                <w:lang w:eastAsia="es-CO"/>
              </w:rPr>
            </w:pPr>
            <w:r w:rsidRPr="00406537">
              <w:rPr>
                <w:rFonts w:asciiTheme="majorHAnsi" w:eastAsia="Times New Roman" w:hAnsiTheme="majorHAnsi"/>
                <w:b/>
                <w:bCs/>
                <w:color w:val="000000"/>
                <w:sz w:val="18"/>
                <w:szCs w:val="18"/>
                <w:lang w:eastAsia="es-CO"/>
              </w:rPr>
              <w:t>779.935.324</w:t>
            </w:r>
          </w:p>
        </w:tc>
      </w:tr>
      <w:tr w:rsidR="00406537" w:rsidRPr="00406537" w:rsidTr="007B4700">
        <w:trPr>
          <w:trHeight w:val="20"/>
        </w:trPr>
        <w:tc>
          <w:tcPr>
            <w:cnfStyle w:val="001000000000" w:firstRow="0" w:lastRow="0" w:firstColumn="1" w:lastColumn="0" w:oddVBand="0" w:evenVBand="0" w:oddHBand="0" w:evenHBand="0" w:firstRowFirstColumn="0" w:firstRowLastColumn="0" w:lastRowFirstColumn="0" w:lastRowLastColumn="0"/>
            <w:tcW w:w="4139" w:type="pct"/>
            <w:gridSpan w:val="6"/>
            <w:tcBorders>
              <w:left w:val="none" w:sz="0" w:space="0" w:color="auto"/>
            </w:tcBorders>
            <w:noWrap/>
            <w:vAlign w:val="center"/>
            <w:hideMark/>
          </w:tcPr>
          <w:p w:rsidR="00406537" w:rsidRPr="00406537" w:rsidRDefault="00406537" w:rsidP="007B4700">
            <w:pPr>
              <w:spacing w:line="240" w:lineRule="auto"/>
              <w:contextualSpacing w:val="0"/>
              <w:jc w:val="center"/>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Valor Presente Neto ($)</w:t>
            </w:r>
          </w:p>
        </w:tc>
        <w:tc>
          <w:tcPr>
            <w:tcW w:w="861" w:type="pct"/>
            <w:vAlign w:val="center"/>
            <w:hideMark/>
          </w:tcPr>
          <w:p w:rsidR="00406537" w:rsidRPr="00406537" w:rsidRDefault="00406537"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406537">
              <w:rPr>
                <w:rFonts w:asciiTheme="majorHAnsi" w:eastAsia="Times New Roman" w:hAnsiTheme="majorHAnsi"/>
                <w:color w:val="000000"/>
                <w:sz w:val="18"/>
                <w:szCs w:val="18"/>
                <w:lang w:eastAsia="es-CO"/>
              </w:rPr>
              <w:t>696.370.825</w:t>
            </w:r>
          </w:p>
        </w:tc>
      </w:tr>
    </w:tbl>
    <w:p w:rsidR="00406537" w:rsidRPr="00AA0A2C" w:rsidRDefault="007B4700" w:rsidP="007B4700">
      <w:pPr>
        <w:pStyle w:val="Notas"/>
      </w:pPr>
      <w:r>
        <w:t xml:space="preserve">Fuente </w:t>
      </w:r>
      <w:r w:rsidR="00406537" w:rsidRPr="00AA0A2C">
        <w:t>Fuente: Autopista Rio Magdalena S.A.S., 2016.</w:t>
      </w:r>
    </w:p>
    <w:p w:rsidR="00406537" w:rsidRPr="00406537" w:rsidRDefault="00406537" w:rsidP="00406537">
      <w:pPr>
        <w:rPr>
          <w:rFonts w:asciiTheme="majorHAnsi" w:hAnsiTheme="majorHAnsi"/>
          <w:sz w:val="18"/>
        </w:rPr>
      </w:pPr>
      <w:r w:rsidRPr="00406537">
        <w:rPr>
          <w:rFonts w:asciiTheme="majorHAnsi" w:hAnsiTheme="majorHAnsi"/>
          <w:sz w:val="18"/>
        </w:rPr>
        <w:t xml:space="preserve">*: Extraído de Tabla de cobertura. </w:t>
      </w:r>
      <w:r w:rsidRPr="00406537">
        <w:rPr>
          <w:rFonts w:asciiTheme="majorHAnsi" w:hAnsiTheme="majorHAnsi"/>
          <w:sz w:val="18"/>
        </w:rPr>
        <w:tab/>
      </w:r>
      <w:r w:rsidRPr="00406537">
        <w:rPr>
          <w:rFonts w:asciiTheme="majorHAnsi" w:hAnsiTheme="majorHAnsi"/>
          <w:sz w:val="18"/>
        </w:rPr>
        <w:tab/>
      </w:r>
      <w:r w:rsidRPr="00406537">
        <w:rPr>
          <w:rFonts w:asciiTheme="majorHAnsi" w:hAnsiTheme="majorHAnsi"/>
          <w:sz w:val="18"/>
        </w:rPr>
        <w:tab/>
      </w:r>
      <w:r w:rsidRPr="00406537">
        <w:rPr>
          <w:rFonts w:asciiTheme="majorHAnsi" w:hAnsiTheme="majorHAnsi"/>
          <w:sz w:val="18"/>
        </w:rPr>
        <w:tab/>
      </w:r>
      <w:r w:rsidRPr="00406537">
        <w:rPr>
          <w:rFonts w:asciiTheme="majorHAnsi" w:hAnsiTheme="majorHAnsi"/>
          <w:sz w:val="18"/>
        </w:rPr>
        <w:tab/>
      </w:r>
      <w:r w:rsidRPr="00406537">
        <w:rPr>
          <w:rFonts w:asciiTheme="majorHAnsi" w:hAnsiTheme="majorHAnsi"/>
          <w:sz w:val="18"/>
        </w:rPr>
        <w:tab/>
      </w:r>
    </w:p>
    <w:p w:rsidR="00406537" w:rsidRPr="00406537" w:rsidRDefault="00406537" w:rsidP="00406537">
      <w:pPr>
        <w:rPr>
          <w:rFonts w:asciiTheme="majorHAnsi" w:hAnsiTheme="majorHAnsi"/>
          <w:sz w:val="18"/>
        </w:rPr>
      </w:pPr>
      <w:r w:rsidRPr="00406537">
        <w:rPr>
          <w:rFonts w:asciiTheme="majorHAnsi" w:hAnsiTheme="majorHAnsi"/>
          <w:sz w:val="18"/>
        </w:rPr>
        <w:t>**: El Valor de costos de producción (H</w:t>
      </w:r>
      <w:r>
        <w:rPr>
          <w:rFonts w:asciiTheme="majorHAnsi" w:hAnsiTheme="majorHAnsi"/>
          <w:sz w:val="18"/>
        </w:rPr>
        <w:t>a/año) es un dato obtenido del A</w:t>
      </w:r>
      <w:r w:rsidRPr="00406537">
        <w:rPr>
          <w:rFonts w:asciiTheme="majorHAnsi" w:hAnsiTheme="majorHAnsi"/>
          <w:sz w:val="18"/>
        </w:rPr>
        <w:t>nuario Estadístico del Sector Agropecuario del Departamento de Antioquia, 2014. Ajus</w:t>
      </w:r>
      <w:r>
        <w:rPr>
          <w:rFonts w:asciiTheme="majorHAnsi" w:hAnsiTheme="majorHAnsi"/>
          <w:sz w:val="18"/>
        </w:rPr>
        <w:t>tado con el IPC a dic 2015.</w:t>
      </w:r>
      <w:r>
        <w:rPr>
          <w:rFonts w:asciiTheme="majorHAnsi" w:hAnsiTheme="majorHAnsi"/>
          <w:sz w:val="18"/>
        </w:rPr>
        <w:tab/>
      </w:r>
      <w:r w:rsidRPr="00406537">
        <w:rPr>
          <w:rFonts w:asciiTheme="majorHAnsi" w:hAnsiTheme="majorHAnsi"/>
          <w:sz w:val="18"/>
        </w:rPr>
        <w:tab/>
      </w:r>
    </w:p>
    <w:p w:rsidR="00406537" w:rsidRDefault="00406537" w:rsidP="00406537">
      <w:pPr>
        <w:rPr>
          <w:rFonts w:asciiTheme="majorHAnsi" w:hAnsiTheme="majorHAnsi"/>
          <w:sz w:val="18"/>
        </w:rPr>
      </w:pPr>
      <w:r w:rsidRPr="00406537">
        <w:rPr>
          <w:rFonts w:asciiTheme="majorHAnsi" w:hAnsiTheme="majorHAnsi"/>
          <w:sz w:val="18"/>
        </w:rPr>
        <w:t>***: La capacidad de carga en UGG, el promedio de producción y los costos del valor del animal se obtiene de Indicadores productivos reportados FEDEGAN</w:t>
      </w:r>
      <w:r>
        <w:rPr>
          <w:rFonts w:asciiTheme="majorHAnsi" w:hAnsiTheme="majorHAnsi"/>
          <w:sz w:val="18"/>
        </w:rPr>
        <w:t>.</w:t>
      </w:r>
    </w:p>
    <w:p w:rsidR="00AA0A2C" w:rsidRPr="00AA0A2C" w:rsidRDefault="00AA0A2C" w:rsidP="00AA0A2C">
      <w:pPr>
        <w:rPr>
          <w:rFonts w:asciiTheme="majorHAnsi" w:hAnsiTheme="majorHAnsi"/>
          <w:sz w:val="18"/>
        </w:rPr>
      </w:pPr>
      <w:r w:rsidRPr="00AA0A2C">
        <w:rPr>
          <w:rFonts w:asciiTheme="majorHAnsi" w:hAnsiTheme="majorHAnsi"/>
          <w:sz w:val="18"/>
        </w:rPr>
        <w:tab/>
      </w:r>
      <w:r w:rsidRPr="00AA0A2C">
        <w:rPr>
          <w:rFonts w:asciiTheme="majorHAnsi" w:hAnsiTheme="majorHAnsi"/>
          <w:sz w:val="18"/>
        </w:rPr>
        <w:tab/>
      </w:r>
      <w:r w:rsidRPr="00AA0A2C">
        <w:rPr>
          <w:rFonts w:asciiTheme="majorHAnsi" w:hAnsiTheme="majorHAnsi"/>
          <w:sz w:val="18"/>
        </w:rPr>
        <w:tab/>
      </w:r>
      <w:r w:rsidRPr="00AA0A2C">
        <w:rPr>
          <w:rFonts w:asciiTheme="majorHAnsi" w:hAnsiTheme="majorHAnsi"/>
          <w:sz w:val="18"/>
        </w:rPr>
        <w:tab/>
      </w:r>
    </w:p>
    <w:p w:rsidR="00AA0A2C" w:rsidRPr="00406537" w:rsidRDefault="00AA0A2C" w:rsidP="00406537">
      <w:pPr>
        <w:pStyle w:val="Ttulo5"/>
      </w:pPr>
      <w:r w:rsidRPr="00406537">
        <w:t>Valoración de impactos sobre el recurso aire</w:t>
      </w:r>
    </w:p>
    <w:p w:rsidR="00AA0A2C" w:rsidRPr="00AA0A2C" w:rsidRDefault="00AA0A2C" w:rsidP="00AA0A2C">
      <w:pPr>
        <w:rPr>
          <w:rFonts w:asciiTheme="majorHAnsi" w:hAnsiTheme="majorHAnsi" w:cs="Arial"/>
          <w:lang w:val="es-ES_tradnl" w:eastAsia="es-ES"/>
        </w:rPr>
      </w:pPr>
    </w:p>
    <w:p w:rsidR="00AA0A2C" w:rsidRPr="00AA0A2C" w:rsidRDefault="00AA0A2C" w:rsidP="00AA0A2C">
      <w:pPr>
        <w:rPr>
          <w:rFonts w:asciiTheme="majorHAnsi" w:hAnsiTheme="majorHAnsi" w:cs="Arial"/>
          <w:lang w:val="es-ES_tradnl" w:eastAsia="es-ES"/>
        </w:rPr>
      </w:pPr>
      <w:r w:rsidRPr="00AA0A2C">
        <w:rPr>
          <w:rFonts w:asciiTheme="majorHAnsi" w:hAnsiTheme="majorHAnsi" w:cs="Arial"/>
          <w:lang w:val="es-ES_tradnl" w:eastAsia="es-ES"/>
        </w:rPr>
        <w:t>La literatura internacional y nacional es abundante en demostrar la relación que existe entre el deterioro de la calidad del aire por emisiones de partículas y gases y la presencia de enfermedades respiratorias, incluso en aquellos casos que las medidas de mitigación son efectivas en reducir la contaminación hasta los límites permisibles.</w:t>
      </w:r>
    </w:p>
    <w:p w:rsidR="00AA0A2C" w:rsidRPr="00AA0A2C" w:rsidRDefault="00AA0A2C" w:rsidP="00AA0A2C">
      <w:pPr>
        <w:rPr>
          <w:rFonts w:asciiTheme="majorHAnsi" w:hAnsiTheme="majorHAnsi" w:cs="Arial"/>
          <w:lang w:val="es-ES_tradnl" w:eastAsia="es-ES"/>
        </w:rPr>
      </w:pPr>
    </w:p>
    <w:p w:rsidR="00AA0A2C" w:rsidRPr="00AA0A2C" w:rsidRDefault="00AA0A2C" w:rsidP="00AA0A2C">
      <w:pPr>
        <w:rPr>
          <w:rFonts w:asciiTheme="majorHAnsi" w:hAnsiTheme="majorHAnsi" w:cs="Arial"/>
        </w:rPr>
      </w:pPr>
      <w:r w:rsidRPr="00AA0A2C">
        <w:rPr>
          <w:rFonts w:asciiTheme="majorHAnsi" w:hAnsiTheme="majorHAnsi" w:cs="Arial"/>
        </w:rPr>
        <w:t>En este sentido, la valoración del impacto no mitigable por emisiones de partículas y gases se realizó tomando como referencia los efectos que pueden tener estas emisiones en la salud de la población, para lo cual se utilizó la metodología de transferencia de función a partir de estudios realizados en otras zonas del país.</w:t>
      </w:r>
    </w:p>
    <w:p w:rsidR="00AA0A2C" w:rsidRPr="00AA0A2C" w:rsidRDefault="00AA0A2C" w:rsidP="00AA0A2C">
      <w:pPr>
        <w:rPr>
          <w:rFonts w:asciiTheme="majorHAnsi" w:hAnsiTheme="majorHAnsi" w:cs="Arial"/>
        </w:rPr>
      </w:pPr>
    </w:p>
    <w:p w:rsidR="00AA0A2C" w:rsidRPr="00AA0A2C" w:rsidRDefault="00AA0A2C" w:rsidP="00AA0A2C">
      <w:pPr>
        <w:rPr>
          <w:rFonts w:asciiTheme="majorHAnsi" w:hAnsiTheme="majorHAnsi" w:cs="Arial"/>
        </w:rPr>
      </w:pPr>
      <w:r w:rsidRPr="00AA0A2C">
        <w:rPr>
          <w:rFonts w:asciiTheme="majorHAnsi" w:hAnsiTheme="majorHAnsi" w:cs="Arial"/>
        </w:rPr>
        <w:t xml:space="preserve">Con esta finalidad se consultó el estudio realizado por la Universidad Javeriana en la ciudad de Bogotá, sobre el incremento de las afecciones respiratorias a causa del aumento de los niveles de contaminación del aire por emisiones vehiculares, industriales y por partículas en suspensión. </w:t>
      </w:r>
    </w:p>
    <w:p w:rsidR="00AA0A2C" w:rsidRPr="00AA0A2C" w:rsidRDefault="00AA0A2C" w:rsidP="00AA0A2C">
      <w:pPr>
        <w:rPr>
          <w:rFonts w:asciiTheme="majorHAnsi" w:hAnsiTheme="majorHAnsi" w:cs="Arial"/>
        </w:rPr>
      </w:pPr>
    </w:p>
    <w:p w:rsidR="00AA0A2C" w:rsidRPr="00AA0A2C" w:rsidRDefault="00AA0A2C" w:rsidP="00AA0A2C">
      <w:pPr>
        <w:rPr>
          <w:rFonts w:asciiTheme="majorHAnsi" w:hAnsiTheme="majorHAnsi" w:cs="Arial"/>
        </w:rPr>
      </w:pPr>
      <w:r w:rsidRPr="00AA0A2C">
        <w:rPr>
          <w:rFonts w:asciiTheme="majorHAnsi" w:hAnsiTheme="majorHAnsi" w:cs="Arial"/>
        </w:rPr>
        <w:t>Complementariamente se revisó el estudio realizado por el MAVDT en el 2005, donde se evalúo el impacto de la polución del aire en la salud, y en el tiempo perdido a causa de las enfermedades respiratorias.</w:t>
      </w:r>
    </w:p>
    <w:p w:rsidR="00AA0A2C" w:rsidRPr="00AA0A2C" w:rsidRDefault="00AA0A2C" w:rsidP="00AA0A2C">
      <w:pPr>
        <w:rPr>
          <w:rFonts w:asciiTheme="majorHAnsi" w:hAnsiTheme="majorHAnsi" w:cs="Arial"/>
        </w:rPr>
      </w:pPr>
    </w:p>
    <w:p w:rsidR="00AA0A2C" w:rsidRPr="00AA0A2C" w:rsidRDefault="00AA0A2C" w:rsidP="00AA0A2C">
      <w:pPr>
        <w:rPr>
          <w:rFonts w:asciiTheme="majorHAnsi" w:hAnsiTheme="majorHAnsi" w:cs="Arial"/>
          <w:b/>
        </w:rPr>
      </w:pPr>
      <w:r w:rsidRPr="00AA0A2C">
        <w:rPr>
          <w:rFonts w:asciiTheme="majorHAnsi" w:hAnsiTheme="majorHAnsi" w:cs="Arial"/>
        </w:rPr>
        <w:t xml:space="preserve">Para este análisis se toma como referencia la población infantil y mayor que habita en </w:t>
      </w:r>
      <w:r w:rsidR="00B17532" w:rsidRPr="00AA0A2C">
        <w:rPr>
          <w:rFonts w:asciiTheme="majorHAnsi" w:hAnsiTheme="majorHAnsi" w:cs="Arial"/>
        </w:rPr>
        <w:t>el Área</w:t>
      </w:r>
      <w:r w:rsidRPr="00AA0A2C">
        <w:rPr>
          <w:rFonts w:asciiTheme="majorHAnsi" w:hAnsiTheme="majorHAnsi" w:cs="Arial"/>
        </w:rPr>
        <w:t xml:space="preserve"> de </w:t>
      </w:r>
      <w:r w:rsidR="00B17532">
        <w:rPr>
          <w:rFonts w:asciiTheme="majorHAnsi" w:hAnsiTheme="majorHAnsi" w:cs="Arial"/>
        </w:rPr>
        <w:t>Intervención</w:t>
      </w:r>
      <w:r w:rsidRPr="00AA0A2C">
        <w:rPr>
          <w:rFonts w:asciiTheme="majorHAnsi" w:hAnsiTheme="majorHAnsi" w:cs="Arial"/>
        </w:rPr>
        <w:t xml:space="preserve"> toda vez que es la de mayor exposición por su permanencia en la misma, contrario a lo que pasa con los adultos que por situaciones labores en la mayoría de los casos se desplazan hacia otros lugares. El impacto asciende a la suma de </w:t>
      </w:r>
      <w:r w:rsidRPr="00AA0A2C">
        <w:rPr>
          <w:rFonts w:asciiTheme="majorHAnsi" w:hAnsiTheme="majorHAnsi" w:cs="Arial"/>
          <w:b/>
        </w:rPr>
        <w:t>$</w:t>
      </w:r>
      <w:r w:rsidR="005B22DF" w:rsidRPr="005B22DF">
        <w:rPr>
          <w:rFonts w:asciiTheme="majorHAnsi" w:hAnsiTheme="majorHAnsi" w:cs="Arial"/>
          <w:b/>
        </w:rPr>
        <w:t>67.488.000</w:t>
      </w:r>
      <w:r w:rsidRPr="00AA0A2C">
        <w:rPr>
          <w:rFonts w:asciiTheme="majorHAnsi" w:hAnsiTheme="majorHAnsi" w:cs="Arial"/>
          <w:b/>
        </w:rPr>
        <w:t xml:space="preserve">. </w:t>
      </w:r>
      <w:r w:rsidRPr="00AA0A2C">
        <w:rPr>
          <w:rFonts w:asciiTheme="majorHAnsi" w:hAnsiTheme="majorHAnsi" w:cs="Arial"/>
        </w:rPr>
        <w:t xml:space="preserve">Los resultados </w:t>
      </w:r>
      <w:r w:rsidR="003D2A91" w:rsidRPr="00AA0A2C">
        <w:rPr>
          <w:rFonts w:asciiTheme="majorHAnsi" w:hAnsiTheme="majorHAnsi" w:cs="Arial"/>
        </w:rPr>
        <w:t>se presentan</w:t>
      </w:r>
      <w:r w:rsidRPr="00AA0A2C">
        <w:rPr>
          <w:rFonts w:asciiTheme="majorHAnsi" w:hAnsiTheme="majorHAnsi" w:cs="Arial"/>
        </w:rPr>
        <w:t xml:space="preserve"> en la siguiente Tabla.</w:t>
      </w:r>
    </w:p>
    <w:p w:rsidR="00AA0A2C" w:rsidRDefault="00AA0A2C" w:rsidP="00AA0A2C">
      <w:pPr>
        <w:rPr>
          <w:rFonts w:asciiTheme="majorHAnsi" w:hAnsiTheme="majorHAnsi"/>
        </w:rPr>
      </w:pPr>
    </w:p>
    <w:p w:rsidR="003D2A91" w:rsidRDefault="003D2A91" w:rsidP="003D2A91">
      <w:pPr>
        <w:pStyle w:val="Tablas"/>
        <w:rPr>
          <w:rFonts w:asciiTheme="majorHAnsi" w:hAnsiTheme="majorHAnsi"/>
        </w:rPr>
      </w:pPr>
      <w:r>
        <w:t xml:space="preserve">Tabla </w:t>
      </w:r>
      <w:r w:rsidR="006D0D6E">
        <w:fldChar w:fldCharType="begin"/>
      </w:r>
      <w:r w:rsidR="006D0D6E">
        <w:instrText xml:space="preserve"> STYLEREF 1 \s </w:instrText>
      </w:r>
      <w:r w:rsidR="006D0D6E">
        <w:fldChar w:fldCharType="separate"/>
      </w:r>
      <w:r w:rsidR="006D0D6E">
        <w:rPr>
          <w:noProof/>
        </w:rPr>
        <w:t>10</w:t>
      </w:r>
      <w:r w:rsidR="006D0D6E">
        <w:fldChar w:fldCharType="end"/>
      </w:r>
      <w:r w:rsidR="006D0D6E">
        <w:t>.</w:t>
      </w:r>
      <w:r w:rsidR="006D0D6E">
        <w:fldChar w:fldCharType="begin"/>
      </w:r>
      <w:r w:rsidR="006D0D6E">
        <w:instrText xml:space="preserve"> SEQ Tabla \* ARABIC \s 1 </w:instrText>
      </w:r>
      <w:r w:rsidR="006D0D6E">
        <w:fldChar w:fldCharType="separate"/>
      </w:r>
      <w:r w:rsidR="006D0D6E">
        <w:rPr>
          <w:noProof/>
        </w:rPr>
        <w:t>8</w:t>
      </w:r>
      <w:r w:rsidR="006D0D6E">
        <w:fldChar w:fldCharType="end"/>
      </w:r>
      <w:r>
        <w:t xml:space="preserve"> </w:t>
      </w:r>
      <w:r w:rsidR="007B4700">
        <w:rPr>
          <w:rFonts w:asciiTheme="majorHAnsi" w:hAnsiTheme="majorHAnsi"/>
        </w:rPr>
        <w:t>Alteración de la calidad del aire</w:t>
      </w:r>
    </w:p>
    <w:tbl>
      <w:tblPr>
        <w:tblStyle w:val="Gminis"/>
        <w:tblW w:w="7400" w:type="dxa"/>
        <w:tblLook w:val="04A0" w:firstRow="1" w:lastRow="0" w:firstColumn="1" w:lastColumn="0" w:noHBand="0" w:noVBand="1"/>
      </w:tblPr>
      <w:tblGrid>
        <w:gridCol w:w="5310"/>
        <w:gridCol w:w="2090"/>
      </w:tblGrid>
      <w:tr w:rsidR="003D2A91" w:rsidRPr="003D2A91" w:rsidTr="007B4700">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7400" w:type="dxa"/>
            <w:gridSpan w:val="2"/>
            <w:tcBorders>
              <w:top w:val="none" w:sz="0" w:space="0" w:color="auto"/>
              <w:left w:val="none" w:sz="0" w:space="0" w:color="auto"/>
              <w:bottom w:val="none" w:sz="0" w:space="0" w:color="auto"/>
              <w:right w:val="none" w:sz="0" w:space="0" w:color="auto"/>
            </w:tcBorders>
            <w:vAlign w:val="center"/>
            <w:hideMark/>
          </w:tcPr>
          <w:p w:rsidR="003D2A91" w:rsidRPr="0073355B" w:rsidRDefault="0073355B" w:rsidP="007B4700">
            <w:pPr>
              <w:spacing w:line="240" w:lineRule="auto"/>
              <w:contextualSpacing w:val="0"/>
              <w:jc w:val="center"/>
              <w:rPr>
                <w:rFonts w:eastAsia="Times New Roman"/>
                <w:bCs/>
                <w:color w:val="000000"/>
                <w:sz w:val="18"/>
                <w:szCs w:val="18"/>
                <w:lang w:eastAsia="es-CO"/>
              </w:rPr>
            </w:pPr>
            <w:r w:rsidRPr="0073355B">
              <w:rPr>
                <w:rFonts w:eastAsia="Times New Roman"/>
                <w:bCs/>
                <w:color w:val="000000"/>
                <w:sz w:val="18"/>
                <w:szCs w:val="18"/>
                <w:lang w:eastAsia="es-CO"/>
              </w:rPr>
              <w:t>ALTERACIÓN DE LA CALIDAD DEL AIRE EN CONSTRUCCIÓN</w:t>
            </w:r>
          </w:p>
        </w:tc>
      </w:tr>
      <w:tr w:rsidR="003D2A91" w:rsidRPr="003D2A91" w:rsidTr="007B4700">
        <w:trPr>
          <w:trHeight w:val="20"/>
        </w:trPr>
        <w:tc>
          <w:tcPr>
            <w:cnfStyle w:val="001000000000" w:firstRow="0" w:lastRow="0" w:firstColumn="1" w:lastColumn="0" w:oddVBand="0" w:evenVBand="0" w:oddHBand="0" w:evenHBand="0" w:firstRowFirstColumn="0" w:firstRowLastColumn="0" w:lastRowFirstColumn="0" w:lastRowLastColumn="0"/>
            <w:tcW w:w="5290" w:type="dxa"/>
            <w:tcBorders>
              <w:left w:val="none" w:sz="0" w:space="0" w:color="auto"/>
            </w:tcBorders>
            <w:vAlign w:val="center"/>
            <w:hideMark/>
          </w:tcPr>
          <w:p w:rsidR="003D2A91" w:rsidRPr="003D2A91" w:rsidRDefault="003D2A91" w:rsidP="007B4700">
            <w:pPr>
              <w:spacing w:line="240" w:lineRule="auto"/>
              <w:contextualSpacing w:val="0"/>
              <w:jc w:val="center"/>
              <w:rPr>
                <w:rFonts w:eastAsia="Times New Roman"/>
                <w:color w:val="000000"/>
                <w:sz w:val="18"/>
                <w:szCs w:val="18"/>
                <w:lang w:eastAsia="es-CO"/>
              </w:rPr>
            </w:pPr>
            <w:r w:rsidRPr="003D2A91">
              <w:rPr>
                <w:rFonts w:eastAsia="Times New Roman"/>
                <w:color w:val="000000"/>
                <w:sz w:val="18"/>
                <w:szCs w:val="18"/>
                <w:lang w:eastAsia="es-CO"/>
              </w:rPr>
              <w:t xml:space="preserve">Población vulnerable (niños &lt;12 años adultos &gt;60 años </w:t>
            </w:r>
            <w:r w:rsidRPr="003D2A91">
              <w:rPr>
                <w:rFonts w:eastAsia="Times New Roman"/>
                <w:color w:val="000000"/>
                <w:sz w:val="18"/>
                <w:szCs w:val="18"/>
                <w:vertAlign w:val="superscript"/>
                <w:lang w:eastAsia="es-CO"/>
              </w:rPr>
              <w:t>*</w:t>
            </w:r>
          </w:p>
        </w:tc>
        <w:tc>
          <w:tcPr>
            <w:tcW w:w="2110" w:type="dxa"/>
            <w:vAlign w:val="center"/>
            <w:hideMark/>
          </w:tcPr>
          <w:p w:rsidR="003D2A91" w:rsidRPr="003D2A91" w:rsidRDefault="003D2A91"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3D2A91">
              <w:rPr>
                <w:rFonts w:eastAsia="Times New Roman"/>
                <w:color w:val="000000"/>
                <w:sz w:val="18"/>
                <w:szCs w:val="18"/>
                <w:lang w:eastAsia="es-CO"/>
              </w:rPr>
              <w:t>14.208</w:t>
            </w:r>
          </w:p>
        </w:tc>
      </w:tr>
      <w:tr w:rsidR="003D2A91" w:rsidRPr="003D2A91" w:rsidTr="007B4700">
        <w:trPr>
          <w:trHeight w:val="20"/>
        </w:trPr>
        <w:tc>
          <w:tcPr>
            <w:cnfStyle w:val="001000000000" w:firstRow="0" w:lastRow="0" w:firstColumn="1" w:lastColumn="0" w:oddVBand="0" w:evenVBand="0" w:oddHBand="0" w:evenHBand="0" w:firstRowFirstColumn="0" w:firstRowLastColumn="0" w:lastRowFirstColumn="0" w:lastRowLastColumn="0"/>
            <w:tcW w:w="5290" w:type="dxa"/>
            <w:tcBorders>
              <w:left w:val="none" w:sz="0" w:space="0" w:color="auto"/>
            </w:tcBorders>
            <w:vAlign w:val="center"/>
            <w:hideMark/>
          </w:tcPr>
          <w:p w:rsidR="003D2A91" w:rsidRPr="003D2A91" w:rsidRDefault="003D2A91" w:rsidP="007B4700">
            <w:pPr>
              <w:spacing w:line="240" w:lineRule="auto"/>
              <w:contextualSpacing w:val="0"/>
              <w:jc w:val="center"/>
              <w:rPr>
                <w:rFonts w:eastAsia="Times New Roman"/>
                <w:color w:val="000000"/>
                <w:sz w:val="18"/>
                <w:szCs w:val="18"/>
                <w:lang w:eastAsia="es-CO"/>
              </w:rPr>
            </w:pPr>
            <w:r w:rsidRPr="003D2A91">
              <w:rPr>
                <w:rFonts w:eastAsia="Times New Roman"/>
                <w:color w:val="000000"/>
                <w:sz w:val="18"/>
                <w:szCs w:val="18"/>
                <w:lang w:eastAsia="es-CO"/>
              </w:rPr>
              <w:t xml:space="preserve">Morbilidad en enfermedad vías respiratorias superiores por pm10 (70%) </w:t>
            </w:r>
            <w:r w:rsidRPr="003D2A91">
              <w:rPr>
                <w:rFonts w:eastAsia="Times New Roman"/>
                <w:color w:val="000000"/>
                <w:sz w:val="18"/>
                <w:szCs w:val="18"/>
                <w:vertAlign w:val="superscript"/>
                <w:lang w:eastAsia="es-CO"/>
              </w:rPr>
              <w:t>***</w:t>
            </w:r>
          </w:p>
        </w:tc>
        <w:tc>
          <w:tcPr>
            <w:tcW w:w="2110" w:type="dxa"/>
            <w:vAlign w:val="center"/>
            <w:hideMark/>
          </w:tcPr>
          <w:p w:rsidR="003D2A91" w:rsidRPr="003D2A91" w:rsidRDefault="003D2A91"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3D2A91">
              <w:rPr>
                <w:rFonts w:eastAsia="Times New Roman"/>
                <w:color w:val="000000"/>
                <w:sz w:val="18"/>
                <w:szCs w:val="18"/>
                <w:lang w:eastAsia="es-CO"/>
              </w:rPr>
              <w:t>9.946</w:t>
            </w:r>
          </w:p>
        </w:tc>
      </w:tr>
      <w:tr w:rsidR="003D2A91" w:rsidRPr="003D2A91" w:rsidTr="007B4700">
        <w:trPr>
          <w:trHeight w:val="20"/>
        </w:trPr>
        <w:tc>
          <w:tcPr>
            <w:cnfStyle w:val="001000000000" w:firstRow="0" w:lastRow="0" w:firstColumn="1" w:lastColumn="0" w:oddVBand="0" w:evenVBand="0" w:oddHBand="0" w:evenHBand="0" w:firstRowFirstColumn="0" w:firstRowLastColumn="0" w:lastRowFirstColumn="0" w:lastRowLastColumn="0"/>
            <w:tcW w:w="5290" w:type="dxa"/>
            <w:tcBorders>
              <w:left w:val="none" w:sz="0" w:space="0" w:color="auto"/>
            </w:tcBorders>
            <w:vAlign w:val="center"/>
            <w:hideMark/>
          </w:tcPr>
          <w:p w:rsidR="003D2A91" w:rsidRPr="003D2A91" w:rsidRDefault="003D2A91" w:rsidP="007B4700">
            <w:pPr>
              <w:spacing w:line="240" w:lineRule="auto"/>
              <w:contextualSpacing w:val="0"/>
              <w:jc w:val="center"/>
              <w:rPr>
                <w:rFonts w:eastAsia="Times New Roman"/>
                <w:color w:val="000000"/>
                <w:sz w:val="18"/>
                <w:szCs w:val="18"/>
                <w:lang w:eastAsia="es-CO"/>
              </w:rPr>
            </w:pPr>
            <w:r w:rsidRPr="003D2A91">
              <w:rPr>
                <w:rFonts w:eastAsia="Times New Roman"/>
                <w:color w:val="000000"/>
                <w:sz w:val="18"/>
                <w:szCs w:val="18"/>
                <w:lang w:eastAsia="es-CO"/>
              </w:rPr>
              <w:t xml:space="preserve">Incidencia esperada por contaminación ambiental (8%) </w:t>
            </w:r>
            <w:r w:rsidRPr="003D2A91">
              <w:rPr>
                <w:rFonts w:eastAsia="Times New Roman"/>
                <w:color w:val="000000"/>
                <w:sz w:val="18"/>
                <w:szCs w:val="18"/>
                <w:vertAlign w:val="superscript"/>
                <w:lang w:eastAsia="es-CO"/>
              </w:rPr>
              <w:t>***</w:t>
            </w:r>
          </w:p>
        </w:tc>
        <w:tc>
          <w:tcPr>
            <w:tcW w:w="2110" w:type="dxa"/>
            <w:vAlign w:val="center"/>
            <w:hideMark/>
          </w:tcPr>
          <w:p w:rsidR="003D2A91" w:rsidRPr="003D2A91" w:rsidRDefault="003D2A91"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3D2A91">
              <w:rPr>
                <w:rFonts w:eastAsia="Times New Roman"/>
                <w:color w:val="000000"/>
                <w:sz w:val="18"/>
                <w:szCs w:val="18"/>
                <w:lang w:eastAsia="es-CO"/>
              </w:rPr>
              <w:t>796</w:t>
            </w:r>
          </w:p>
        </w:tc>
      </w:tr>
      <w:tr w:rsidR="003D2A91" w:rsidRPr="003D2A91" w:rsidTr="007B4700">
        <w:trPr>
          <w:trHeight w:val="20"/>
        </w:trPr>
        <w:tc>
          <w:tcPr>
            <w:cnfStyle w:val="001000000000" w:firstRow="0" w:lastRow="0" w:firstColumn="1" w:lastColumn="0" w:oddVBand="0" w:evenVBand="0" w:oddHBand="0" w:evenHBand="0" w:firstRowFirstColumn="0" w:firstRowLastColumn="0" w:lastRowFirstColumn="0" w:lastRowLastColumn="0"/>
            <w:tcW w:w="5290" w:type="dxa"/>
            <w:tcBorders>
              <w:left w:val="none" w:sz="0" w:space="0" w:color="auto"/>
            </w:tcBorders>
            <w:vAlign w:val="center"/>
            <w:hideMark/>
          </w:tcPr>
          <w:p w:rsidR="003D2A91" w:rsidRPr="003D2A91" w:rsidRDefault="003D2A91" w:rsidP="007B4700">
            <w:pPr>
              <w:spacing w:line="240" w:lineRule="auto"/>
              <w:contextualSpacing w:val="0"/>
              <w:jc w:val="center"/>
              <w:rPr>
                <w:rFonts w:eastAsia="Times New Roman"/>
                <w:color w:val="000000"/>
                <w:sz w:val="18"/>
                <w:szCs w:val="18"/>
                <w:lang w:eastAsia="es-CO"/>
              </w:rPr>
            </w:pPr>
            <w:r w:rsidRPr="003D2A91">
              <w:rPr>
                <w:rFonts w:eastAsia="Times New Roman"/>
                <w:color w:val="000000"/>
                <w:sz w:val="18"/>
                <w:szCs w:val="18"/>
                <w:lang w:eastAsia="es-CO"/>
              </w:rPr>
              <w:t xml:space="preserve">Valor consulta médica </w:t>
            </w:r>
            <w:r w:rsidRPr="003D2A91">
              <w:rPr>
                <w:rFonts w:eastAsia="Times New Roman"/>
                <w:color w:val="000000"/>
                <w:sz w:val="18"/>
                <w:szCs w:val="18"/>
                <w:vertAlign w:val="superscript"/>
                <w:lang w:eastAsia="es-CO"/>
              </w:rPr>
              <w:t>**</w:t>
            </w:r>
          </w:p>
        </w:tc>
        <w:tc>
          <w:tcPr>
            <w:tcW w:w="2110" w:type="dxa"/>
            <w:vAlign w:val="center"/>
            <w:hideMark/>
          </w:tcPr>
          <w:p w:rsidR="003D2A91" w:rsidRPr="003D2A91" w:rsidRDefault="003D2A91"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3D2A91">
              <w:rPr>
                <w:rFonts w:eastAsia="Times New Roman"/>
                <w:color w:val="000000"/>
                <w:sz w:val="18"/>
                <w:szCs w:val="18"/>
                <w:lang w:eastAsia="es-CO"/>
              </w:rPr>
              <w:t>95.000</w:t>
            </w:r>
          </w:p>
        </w:tc>
      </w:tr>
      <w:tr w:rsidR="003D2A91" w:rsidRPr="003D2A91" w:rsidTr="007B4700">
        <w:trPr>
          <w:trHeight w:val="20"/>
        </w:trPr>
        <w:tc>
          <w:tcPr>
            <w:cnfStyle w:val="001000000000" w:firstRow="0" w:lastRow="0" w:firstColumn="1" w:lastColumn="0" w:oddVBand="0" w:evenVBand="0" w:oddHBand="0" w:evenHBand="0" w:firstRowFirstColumn="0" w:firstRowLastColumn="0" w:lastRowFirstColumn="0" w:lastRowLastColumn="0"/>
            <w:tcW w:w="5290" w:type="dxa"/>
            <w:tcBorders>
              <w:left w:val="none" w:sz="0" w:space="0" w:color="auto"/>
            </w:tcBorders>
            <w:vAlign w:val="center"/>
            <w:hideMark/>
          </w:tcPr>
          <w:p w:rsidR="003D2A91" w:rsidRPr="003D2A91" w:rsidRDefault="003D2A91" w:rsidP="007B4700">
            <w:pPr>
              <w:spacing w:line="240" w:lineRule="auto"/>
              <w:contextualSpacing w:val="0"/>
              <w:jc w:val="center"/>
              <w:rPr>
                <w:rFonts w:eastAsia="Times New Roman"/>
                <w:color w:val="000000"/>
                <w:sz w:val="18"/>
                <w:szCs w:val="18"/>
                <w:lang w:eastAsia="es-CO"/>
              </w:rPr>
            </w:pPr>
            <w:r w:rsidRPr="003D2A91">
              <w:rPr>
                <w:rFonts w:eastAsia="Times New Roman"/>
                <w:color w:val="000000"/>
                <w:sz w:val="18"/>
                <w:szCs w:val="18"/>
                <w:lang w:eastAsia="es-CO"/>
              </w:rPr>
              <w:t xml:space="preserve"> Costo con incidencia esperada</w:t>
            </w:r>
          </w:p>
        </w:tc>
        <w:tc>
          <w:tcPr>
            <w:tcW w:w="2110" w:type="dxa"/>
            <w:vAlign w:val="center"/>
            <w:hideMark/>
          </w:tcPr>
          <w:p w:rsidR="003D2A91" w:rsidRPr="003D2A91" w:rsidRDefault="003D2A91"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3D2A91">
              <w:rPr>
                <w:rFonts w:eastAsia="Times New Roman"/>
                <w:color w:val="000000"/>
                <w:sz w:val="18"/>
                <w:szCs w:val="18"/>
                <w:lang w:eastAsia="es-CO"/>
              </w:rPr>
              <w:t>1.020.418.560</w:t>
            </w:r>
          </w:p>
        </w:tc>
      </w:tr>
      <w:tr w:rsidR="003D2A91" w:rsidRPr="003D2A91" w:rsidTr="007B4700">
        <w:trPr>
          <w:trHeight w:val="20"/>
        </w:trPr>
        <w:tc>
          <w:tcPr>
            <w:cnfStyle w:val="001000000000" w:firstRow="0" w:lastRow="0" w:firstColumn="1" w:lastColumn="0" w:oddVBand="0" w:evenVBand="0" w:oddHBand="0" w:evenHBand="0" w:firstRowFirstColumn="0" w:firstRowLastColumn="0" w:lastRowFirstColumn="0" w:lastRowLastColumn="0"/>
            <w:tcW w:w="5290" w:type="dxa"/>
            <w:tcBorders>
              <w:left w:val="none" w:sz="0" w:space="0" w:color="auto"/>
            </w:tcBorders>
            <w:vAlign w:val="center"/>
            <w:hideMark/>
          </w:tcPr>
          <w:p w:rsidR="003D2A91" w:rsidRPr="003D2A91" w:rsidRDefault="003D2A91" w:rsidP="007B4700">
            <w:pPr>
              <w:spacing w:line="240" w:lineRule="auto"/>
              <w:contextualSpacing w:val="0"/>
              <w:jc w:val="center"/>
              <w:rPr>
                <w:rFonts w:eastAsia="Times New Roman"/>
                <w:color w:val="000000"/>
                <w:sz w:val="18"/>
                <w:szCs w:val="18"/>
                <w:lang w:eastAsia="es-CO"/>
              </w:rPr>
            </w:pPr>
            <w:r w:rsidRPr="003D2A91">
              <w:rPr>
                <w:rFonts w:eastAsia="Times New Roman"/>
                <w:color w:val="000000"/>
                <w:sz w:val="18"/>
                <w:szCs w:val="18"/>
                <w:lang w:eastAsia="es-CO"/>
              </w:rPr>
              <w:t xml:space="preserve"> Costo sin incidencia esperada</w:t>
            </w:r>
          </w:p>
        </w:tc>
        <w:tc>
          <w:tcPr>
            <w:tcW w:w="2110" w:type="dxa"/>
            <w:vAlign w:val="center"/>
            <w:hideMark/>
          </w:tcPr>
          <w:p w:rsidR="003D2A91" w:rsidRPr="003D2A91" w:rsidRDefault="003D2A91"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3D2A91">
              <w:rPr>
                <w:rFonts w:eastAsia="Times New Roman"/>
                <w:color w:val="000000"/>
                <w:sz w:val="18"/>
                <w:szCs w:val="18"/>
                <w:lang w:eastAsia="es-CO"/>
              </w:rPr>
              <w:t>944.832.000</w:t>
            </w:r>
          </w:p>
        </w:tc>
      </w:tr>
      <w:tr w:rsidR="003D2A91" w:rsidRPr="003D2A91" w:rsidTr="007B4700">
        <w:trPr>
          <w:trHeight w:val="20"/>
        </w:trPr>
        <w:tc>
          <w:tcPr>
            <w:cnfStyle w:val="001000000000" w:firstRow="0" w:lastRow="0" w:firstColumn="1" w:lastColumn="0" w:oddVBand="0" w:evenVBand="0" w:oddHBand="0" w:evenHBand="0" w:firstRowFirstColumn="0" w:firstRowLastColumn="0" w:lastRowFirstColumn="0" w:lastRowLastColumn="0"/>
            <w:tcW w:w="5290" w:type="dxa"/>
            <w:tcBorders>
              <w:left w:val="none" w:sz="0" w:space="0" w:color="auto"/>
            </w:tcBorders>
            <w:shd w:val="clear" w:color="auto" w:fill="F2F2F2" w:themeFill="background1" w:themeFillShade="F2"/>
            <w:vAlign w:val="center"/>
            <w:hideMark/>
          </w:tcPr>
          <w:p w:rsidR="003D2A91" w:rsidRPr="003D2A91" w:rsidRDefault="003D2A91" w:rsidP="007B4700">
            <w:pPr>
              <w:spacing w:line="240" w:lineRule="auto"/>
              <w:contextualSpacing w:val="0"/>
              <w:jc w:val="center"/>
              <w:rPr>
                <w:rFonts w:eastAsia="Times New Roman"/>
                <w:b/>
                <w:bCs/>
                <w:color w:val="000000"/>
                <w:sz w:val="18"/>
                <w:szCs w:val="18"/>
                <w:lang w:eastAsia="es-CO"/>
              </w:rPr>
            </w:pPr>
            <w:r w:rsidRPr="003D2A91">
              <w:rPr>
                <w:rFonts w:eastAsia="Times New Roman"/>
                <w:b/>
                <w:bCs/>
                <w:color w:val="000000"/>
                <w:sz w:val="18"/>
                <w:szCs w:val="18"/>
                <w:lang w:eastAsia="es-CO"/>
              </w:rPr>
              <w:t>Valor adicional por contaminación (pesos$)</w:t>
            </w:r>
          </w:p>
        </w:tc>
        <w:tc>
          <w:tcPr>
            <w:tcW w:w="2110" w:type="dxa"/>
            <w:shd w:val="clear" w:color="auto" w:fill="F2F2F2" w:themeFill="background1" w:themeFillShade="F2"/>
            <w:vAlign w:val="center"/>
            <w:hideMark/>
          </w:tcPr>
          <w:p w:rsidR="003D2A91" w:rsidRPr="003D2A91" w:rsidRDefault="003D2A91"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3D2A91">
              <w:rPr>
                <w:rFonts w:eastAsia="Times New Roman"/>
                <w:b/>
                <w:bCs/>
                <w:color w:val="000000"/>
                <w:sz w:val="18"/>
                <w:szCs w:val="18"/>
                <w:lang w:eastAsia="es-CO"/>
              </w:rPr>
              <w:t>75.586.560</w:t>
            </w:r>
          </w:p>
        </w:tc>
      </w:tr>
      <w:tr w:rsidR="003D2A91" w:rsidRPr="003D2A91" w:rsidTr="007B4700">
        <w:trPr>
          <w:trHeight w:val="20"/>
        </w:trPr>
        <w:tc>
          <w:tcPr>
            <w:cnfStyle w:val="001000000000" w:firstRow="0" w:lastRow="0" w:firstColumn="1" w:lastColumn="0" w:oddVBand="0" w:evenVBand="0" w:oddHBand="0" w:evenHBand="0" w:firstRowFirstColumn="0" w:firstRowLastColumn="0" w:lastRowFirstColumn="0" w:lastRowLastColumn="0"/>
            <w:tcW w:w="5290" w:type="dxa"/>
            <w:tcBorders>
              <w:left w:val="none" w:sz="0" w:space="0" w:color="auto"/>
            </w:tcBorders>
            <w:noWrap/>
            <w:vAlign w:val="center"/>
            <w:hideMark/>
          </w:tcPr>
          <w:p w:rsidR="003D2A91" w:rsidRPr="003D2A91" w:rsidRDefault="003D2A91" w:rsidP="007B4700">
            <w:pPr>
              <w:spacing w:line="240" w:lineRule="auto"/>
              <w:contextualSpacing w:val="0"/>
              <w:jc w:val="center"/>
              <w:rPr>
                <w:rFonts w:eastAsia="Times New Roman"/>
                <w:color w:val="000000"/>
                <w:sz w:val="18"/>
                <w:szCs w:val="18"/>
                <w:lang w:eastAsia="es-CO"/>
              </w:rPr>
            </w:pPr>
            <w:r w:rsidRPr="003D2A91">
              <w:rPr>
                <w:rFonts w:eastAsia="Times New Roman"/>
                <w:color w:val="000000"/>
                <w:sz w:val="18"/>
                <w:szCs w:val="18"/>
                <w:lang w:eastAsia="es-CO"/>
              </w:rPr>
              <w:t>Valor Presente Neto ($)</w:t>
            </w:r>
          </w:p>
        </w:tc>
        <w:tc>
          <w:tcPr>
            <w:tcW w:w="2110" w:type="dxa"/>
            <w:vAlign w:val="center"/>
            <w:hideMark/>
          </w:tcPr>
          <w:p w:rsidR="003D2A91" w:rsidRPr="003D2A91" w:rsidRDefault="003D2A91"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3D2A91">
              <w:rPr>
                <w:rFonts w:eastAsia="Times New Roman"/>
                <w:color w:val="000000"/>
                <w:sz w:val="18"/>
                <w:szCs w:val="18"/>
                <w:lang w:eastAsia="es-CO"/>
              </w:rPr>
              <w:t>67.488.000</w:t>
            </w:r>
          </w:p>
        </w:tc>
      </w:tr>
    </w:tbl>
    <w:p w:rsidR="003D2A91" w:rsidRPr="00AA0A2C" w:rsidRDefault="007B4700" w:rsidP="007B4700">
      <w:pPr>
        <w:pStyle w:val="Notas"/>
      </w:pPr>
      <w:r>
        <w:t xml:space="preserve">Fuente </w:t>
      </w:r>
      <w:r w:rsidR="003D2A91" w:rsidRPr="00AA0A2C">
        <w:t>Fuente: Autopista Rio Magdalena S.A.S., 2016.</w:t>
      </w:r>
    </w:p>
    <w:p w:rsidR="00CB0E9F" w:rsidRDefault="00CB0E9F" w:rsidP="003D2A91">
      <w:pPr>
        <w:rPr>
          <w:rFonts w:asciiTheme="majorHAnsi" w:hAnsiTheme="majorHAnsi"/>
          <w:sz w:val="18"/>
        </w:rPr>
      </w:pPr>
      <w:r w:rsidRPr="00CB0E9F">
        <w:rPr>
          <w:rFonts w:asciiTheme="majorHAnsi" w:hAnsiTheme="majorHAnsi"/>
          <w:sz w:val="18"/>
        </w:rPr>
        <w:t>*: Dato tomado del Capítulo de Caracterización Ambiental, población en el área de intervención.</w:t>
      </w:r>
    </w:p>
    <w:p w:rsidR="003D2A91" w:rsidRPr="003D2A91" w:rsidRDefault="003D2A91" w:rsidP="003D2A91">
      <w:pPr>
        <w:rPr>
          <w:rFonts w:asciiTheme="majorHAnsi" w:hAnsiTheme="majorHAnsi"/>
          <w:sz w:val="18"/>
        </w:rPr>
      </w:pPr>
      <w:r>
        <w:rPr>
          <w:rFonts w:asciiTheme="majorHAnsi" w:hAnsiTheme="majorHAnsi"/>
          <w:sz w:val="18"/>
        </w:rPr>
        <w:t>**: Dato s</w:t>
      </w:r>
      <w:r w:rsidRPr="003D2A91">
        <w:rPr>
          <w:rFonts w:asciiTheme="majorHAnsi" w:hAnsiTheme="majorHAnsi"/>
          <w:sz w:val="18"/>
        </w:rPr>
        <w:t>uministrado por entidades prestadoras de Salud en el municipio de Puerto Berrío. Equivale a la sumatoria del valor de la consulta ($25.000) y del tratamiento ($70,000).</w:t>
      </w:r>
      <w:r w:rsidRPr="003D2A91">
        <w:rPr>
          <w:rFonts w:asciiTheme="majorHAnsi" w:hAnsiTheme="majorHAnsi"/>
          <w:sz w:val="18"/>
        </w:rPr>
        <w:tab/>
      </w:r>
    </w:p>
    <w:p w:rsidR="00AA0A2C" w:rsidRPr="003D2A91" w:rsidRDefault="003D2A91" w:rsidP="003D2A91">
      <w:pPr>
        <w:rPr>
          <w:rFonts w:asciiTheme="majorHAnsi" w:hAnsiTheme="majorHAnsi"/>
          <w:sz w:val="18"/>
        </w:rPr>
      </w:pPr>
      <w:r w:rsidRPr="003D2A91">
        <w:rPr>
          <w:rFonts w:asciiTheme="majorHAnsi" w:hAnsiTheme="majorHAnsi"/>
          <w:sz w:val="18"/>
        </w:rPr>
        <w:t>***: Los datos base para aplicar la técnica de transferencia de beneficios se obtiene del estudio realizado por la Universidad Javeriana 2001</w:t>
      </w:r>
      <w:r w:rsidRPr="003D2A91">
        <w:rPr>
          <w:rFonts w:asciiTheme="majorHAnsi" w:hAnsiTheme="majorHAnsi"/>
          <w:sz w:val="18"/>
        </w:rPr>
        <w:tab/>
      </w:r>
    </w:p>
    <w:p w:rsidR="00AA0A2C" w:rsidRPr="00AA0A2C" w:rsidRDefault="00AA0A2C" w:rsidP="00AA0A2C">
      <w:pPr>
        <w:rPr>
          <w:rFonts w:asciiTheme="majorHAnsi" w:hAnsiTheme="majorHAnsi" w:cs="Arial"/>
          <w:b/>
        </w:rPr>
      </w:pPr>
    </w:p>
    <w:p w:rsidR="00AA0A2C" w:rsidRPr="00AA0A2C" w:rsidRDefault="00AA0A2C" w:rsidP="00AA0A2C">
      <w:pPr>
        <w:rPr>
          <w:rFonts w:asciiTheme="majorHAnsi" w:hAnsiTheme="majorHAnsi"/>
          <w:b/>
        </w:rPr>
      </w:pPr>
      <w:r w:rsidRPr="00AA0A2C">
        <w:rPr>
          <w:rFonts w:asciiTheme="majorHAnsi" w:hAnsiTheme="majorHAnsi"/>
          <w:b/>
        </w:rPr>
        <w:t xml:space="preserve">Demanda hídrica </w:t>
      </w:r>
    </w:p>
    <w:p w:rsidR="00AA0A2C" w:rsidRPr="00AA0A2C" w:rsidRDefault="00AA0A2C" w:rsidP="00AA0A2C">
      <w:pPr>
        <w:rPr>
          <w:rFonts w:asciiTheme="majorHAnsi" w:hAnsiTheme="majorHAnsi" w:cs="Arial"/>
        </w:rPr>
      </w:pPr>
    </w:p>
    <w:p w:rsidR="00AA0A2C" w:rsidRPr="00AA0A2C" w:rsidRDefault="00AA0A2C" w:rsidP="00AA0A2C">
      <w:pPr>
        <w:rPr>
          <w:rFonts w:asciiTheme="majorHAnsi" w:hAnsiTheme="majorHAnsi" w:cs="Arial"/>
        </w:rPr>
      </w:pPr>
      <w:r w:rsidRPr="00AA0A2C">
        <w:rPr>
          <w:rFonts w:asciiTheme="majorHAnsi" w:hAnsiTheme="majorHAnsi" w:cs="Arial"/>
        </w:rPr>
        <w:t>Para la construcción y operación de la vía, se requiere del aprovechamiento de aguas superficiales para actividades relacionadas con humectación o irrigación de materiales, conformación de taludes y revegetalización. Para el cálculo de la demanda de uso industrial se tomaron en cuenta factores como distancia desde la fuente a las obras, disponibilidad de la fuente de agua y capacidad de los vehículos irrigadores, entre otros. El agua se tomará de</w:t>
      </w:r>
      <w:r w:rsidR="00186175">
        <w:rPr>
          <w:rFonts w:asciiTheme="majorHAnsi" w:hAnsiTheme="majorHAnsi" w:cs="Arial"/>
        </w:rPr>
        <w:t xml:space="preserve"> las</w:t>
      </w:r>
      <w:r w:rsidRPr="00AA0A2C">
        <w:rPr>
          <w:rFonts w:asciiTheme="majorHAnsi" w:hAnsiTheme="majorHAnsi" w:cs="Arial"/>
        </w:rPr>
        <w:t xml:space="preserve"> fuentes naturales Quebradas</w:t>
      </w:r>
      <w:r w:rsidR="00186175">
        <w:rPr>
          <w:rFonts w:asciiTheme="majorHAnsi" w:hAnsiTheme="majorHAnsi" w:cs="Arial"/>
        </w:rPr>
        <w:t xml:space="preserve"> la Sandovala y La Malena</w:t>
      </w:r>
      <w:r w:rsidRPr="00AA0A2C">
        <w:rPr>
          <w:rFonts w:asciiTheme="majorHAnsi" w:hAnsiTheme="majorHAnsi" w:cs="Arial"/>
        </w:rPr>
        <w:t xml:space="preserve"> ubicadas dentro del Área de Influencia del Proyecto. Para calcular el valor de dicha demanda del recurso hídrico se toma como base la Tarifa </w:t>
      </w:r>
      <w:r w:rsidR="002D2EE8">
        <w:rPr>
          <w:rFonts w:asciiTheme="majorHAnsi" w:hAnsiTheme="majorHAnsi" w:cs="Arial"/>
        </w:rPr>
        <w:t xml:space="preserve">base </w:t>
      </w:r>
      <w:r w:rsidRPr="00AA0A2C">
        <w:rPr>
          <w:rFonts w:asciiTheme="majorHAnsi" w:hAnsiTheme="majorHAnsi" w:cs="Arial"/>
        </w:rPr>
        <w:t xml:space="preserve">por Uso de Agua (TUA) </w:t>
      </w:r>
      <w:r w:rsidR="002D2EE8">
        <w:rPr>
          <w:rFonts w:asciiTheme="majorHAnsi" w:hAnsiTheme="majorHAnsi" w:cs="Arial"/>
        </w:rPr>
        <w:t xml:space="preserve">establecida por el Ministerio de Ambiente, Vivienda y Desarrollo Territorial en la Resolución </w:t>
      </w:r>
      <w:r w:rsidR="002D2EE8" w:rsidRPr="002D2EE8">
        <w:rPr>
          <w:rFonts w:asciiTheme="majorHAnsi" w:hAnsiTheme="majorHAnsi" w:cs="Arial"/>
        </w:rPr>
        <w:t>240 de 2004</w:t>
      </w:r>
      <w:r w:rsidRPr="00AA0A2C">
        <w:rPr>
          <w:rFonts w:asciiTheme="majorHAnsi" w:hAnsiTheme="majorHAnsi" w:cs="Arial"/>
        </w:rPr>
        <w:t>.</w:t>
      </w:r>
    </w:p>
    <w:p w:rsidR="00AA0A2C" w:rsidRPr="00AA0A2C" w:rsidRDefault="00AA0A2C" w:rsidP="00AA0A2C">
      <w:pPr>
        <w:rPr>
          <w:rFonts w:asciiTheme="majorHAnsi" w:hAnsiTheme="majorHAnsi" w:cs="Arial"/>
        </w:rPr>
      </w:pPr>
    </w:p>
    <w:p w:rsidR="00AA0A2C" w:rsidRDefault="00AA0A2C" w:rsidP="00AA0A2C">
      <w:pPr>
        <w:rPr>
          <w:rFonts w:asciiTheme="majorHAnsi" w:hAnsiTheme="majorHAnsi" w:cs="Arial"/>
        </w:rPr>
      </w:pPr>
      <w:r w:rsidRPr="00AA0A2C">
        <w:rPr>
          <w:rFonts w:asciiTheme="majorHAnsi" w:hAnsiTheme="majorHAnsi" w:cs="Arial"/>
        </w:rPr>
        <w:t xml:space="preserve">Se </w:t>
      </w:r>
      <w:r w:rsidRPr="00186175">
        <w:rPr>
          <w:rFonts w:asciiTheme="majorHAnsi" w:hAnsiTheme="majorHAnsi" w:cs="Arial"/>
        </w:rPr>
        <w:t xml:space="preserve">ha estimado que el </w:t>
      </w:r>
      <w:r w:rsidR="002D2EE8" w:rsidRPr="00186175">
        <w:rPr>
          <w:rFonts w:asciiTheme="majorHAnsi" w:hAnsiTheme="majorHAnsi" w:cs="Arial"/>
        </w:rPr>
        <w:t xml:space="preserve">proyecto demandará </w:t>
      </w:r>
      <w:r w:rsidR="00A01F54" w:rsidRPr="00186175">
        <w:rPr>
          <w:rFonts w:asciiTheme="majorHAnsi" w:hAnsiTheme="majorHAnsi" w:cs="Arial"/>
        </w:rPr>
        <w:t>un total de 1.659.600m</w:t>
      </w:r>
      <w:r w:rsidR="00A01F54" w:rsidRPr="00186175">
        <w:rPr>
          <w:rFonts w:asciiTheme="majorHAnsi" w:hAnsiTheme="majorHAnsi" w:cs="Arial"/>
          <w:vertAlign w:val="superscript"/>
        </w:rPr>
        <w:t>3</w:t>
      </w:r>
      <w:r w:rsidR="00A01F54" w:rsidRPr="00186175">
        <w:rPr>
          <w:rFonts w:asciiTheme="majorHAnsi" w:hAnsiTheme="majorHAnsi" w:cs="Arial"/>
        </w:rPr>
        <w:t xml:space="preserve"> anuales</w:t>
      </w:r>
      <w:r w:rsidRPr="00186175">
        <w:rPr>
          <w:rFonts w:asciiTheme="majorHAnsi" w:hAnsiTheme="majorHAnsi" w:cs="Arial"/>
        </w:rPr>
        <w:t xml:space="preserve">. </w:t>
      </w:r>
      <w:r w:rsidR="00A01F54" w:rsidRPr="00186175">
        <w:rPr>
          <w:rFonts w:asciiTheme="majorHAnsi" w:hAnsiTheme="majorHAnsi" w:cs="Arial"/>
        </w:rPr>
        <w:t>La captación se realizará de fuentes naturales</w:t>
      </w:r>
      <w:r w:rsidRPr="00186175">
        <w:rPr>
          <w:rFonts w:asciiTheme="majorHAnsi" w:hAnsiTheme="majorHAnsi" w:cs="Arial"/>
        </w:rPr>
        <w:t xml:space="preserve"> </w:t>
      </w:r>
      <w:r w:rsidR="00A01F54" w:rsidRPr="00186175">
        <w:rPr>
          <w:rFonts w:asciiTheme="majorHAnsi" w:hAnsiTheme="majorHAnsi" w:cs="Arial"/>
        </w:rPr>
        <w:t>y el valor estimado asciende</w:t>
      </w:r>
      <w:r w:rsidRPr="00186175">
        <w:rPr>
          <w:rFonts w:asciiTheme="majorHAnsi" w:hAnsiTheme="majorHAnsi" w:cs="Arial"/>
        </w:rPr>
        <w:t xml:space="preserve"> a la suma de </w:t>
      </w:r>
      <w:r w:rsidRPr="00186175">
        <w:rPr>
          <w:rFonts w:asciiTheme="majorHAnsi" w:hAnsiTheme="majorHAnsi" w:cs="Arial"/>
          <w:b/>
        </w:rPr>
        <w:t>$</w:t>
      </w:r>
      <w:r w:rsidR="005B22DF" w:rsidRPr="005B22DF">
        <w:rPr>
          <w:rFonts w:asciiTheme="majorHAnsi" w:eastAsia="Times New Roman" w:hAnsiTheme="majorHAnsi" w:cs="Arial"/>
          <w:b/>
          <w:bCs/>
          <w:color w:val="000000"/>
          <w:lang w:eastAsia="es-CO"/>
        </w:rPr>
        <w:t>508.217</w:t>
      </w:r>
      <w:r w:rsidR="005B22DF">
        <w:rPr>
          <w:rFonts w:asciiTheme="majorHAnsi" w:eastAsia="Times New Roman" w:hAnsiTheme="majorHAnsi" w:cs="Arial"/>
          <w:b/>
          <w:bCs/>
          <w:color w:val="000000"/>
          <w:lang w:eastAsia="es-CO"/>
        </w:rPr>
        <w:t xml:space="preserve"> </w:t>
      </w:r>
      <w:r w:rsidRPr="00186175">
        <w:rPr>
          <w:rFonts w:asciiTheme="majorHAnsi" w:hAnsiTheme="majorHAnsi" w:cs="Arial"/>
        </w:rPr>
        <w:t>cifras que se muestran en la siguiente Tabla.</w:t>
      </w:r>
    </w:p>
    <w:p w:rsidR="00A01F54" w:rsidRPr="00AA0A2C" w:rsidRDefault="00A01F54" w:rsidP="00AA0A2C">
      <w:pPr>
        <w:rPr>
          <w:rFonts w:asciiTheme="majorHAnsi" w:hAnsiTheme="majorHAnsi" w:cs="Arial"/>
          <w:b/>
        </w:rPr>
      </w:pPr>
    </w:p>
    <w:p w:rsidR="00A01F54" w:rsidRDefault="00A01F54" w:rsidP="00A01F54">
      <w:pPr>
        <w:pStyle w:val="Tablas"/>
        <w:rPr>
          <w:rFonts w:asciiTheme="majorHAnsi" w:hAnsiTheme="majorHAnsi"/>
        </w:rPr>
      </w:pPr>
      <w:r>
        <w:t xml:space="preserve">Tabla </w:t>
      </w:r>
      <w:r w:rsidR="006D0D6E">
        <w:fldChar w:fldCharType="begin"/>
      </w:r>
      <w:r w:rsidR="006D0D6E">
        <w:instrText xml:space="preserve"> STYLEREF 1 \s </w:instrText>
      </w:r>
      <w:r w:rsidR="006D0D6E">
        <w:fldChar w:fldCharType="separate"/>
      </w:r>
      <w:r w:rsidR="006D0D6E">
        <w:rPr>
          <w:noProof/>
        </w:rPr>
        <w:t>10</w:t>
      </w:r>
      <w:r w:rsidR="006D0D6E">
        <w:fldChar w:fldCharType="end"/>
      </w:r>
      <w:r w:rsidR="006D0D6E">
        <w:t>.</w:t>
      </w:r>
      <w:r w:rsidR="006D0D6E">
        <w:fldChar w:fldCharType="begin"/>
      </w:r>
      <w:r w:rsidR="006D0D6E">
        <w:instrText xml:space="preserve"> SEQ Tabla \* ARABIC \s 1 </w:instrText>
      </w:r>
      <w:r w:rsidR="006D0D6E">
        <w:fldChar w:fldCharType="separate"/>
      </w:r>
      <w:r w:rsidR="006D0D6E">
        <w:rPr>
          <w:noProof/>
        </w:rPr>
        <w:t>9</w:t>
      </w:r>
      <w:r w:rsidR="006D0D6E">
        <w:fldChar w:fldCharType="end"/>
      </w:r>
      <w:r>
        <w:t xml:space="preserve"> </w:t>
      </w:r>
      <w:r w:rsidR="007B4700">
        <w:rPr>
          <w:rFonts w:asciiTheme="majorHAnsi" w:hAnsiTheme="majorHAnsi"/>
        </w:rPr>
        <w:t>Demanda Hídrica</w:t>
      </w:r>
    </w:p>
    <w:tbl>
      <w:tblPr>
        <w:tblStyle w:val="Gminis"/>
        <w:tblW w:w="5000" w:type="pct"/>
        <w:tblLook w:val="04A0" w:firstRow="1" w:lastRow="0" w:firstColumn="1" w:lastColumn="0" w:noHBand="0" w:noVBand="1"/>
      </w:tblPr>
      <w:tblGrid>
        <w:gridCol w:w="2125"/>
        <w:gridCol w:w="2691"/>
        <w:gridCol w:w="1981"/>
        <w:gridCol w:w="1464"/>
      </w:tblGrid>
      <w:tr w:rsidR="0073355B" w:rsidRPr="0073355B" w:rsidTr="007B4700">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gridSpan w:val="4"/>
            <w:tcBorders>
              <w:top w:val="none" w:sz="0" w:space="0" w:color="auto"/>
              <w:left w:val="none" w:sz="0" w:space="0" w:color="auto"/>
              <w:bottom w:val="none" w:sz="0" w:space="0" w:color="auto"/>
              <w:right w:val="none" w:sz="0" w:space="0" w:color="auto"/>
            </w:tcBorders>
            <w:noWrap/>
            <w:vAlign w:val="center"/>
            <w:hideMark/>
          </w:tcPr>
          <w:p w:rsidR="0073355B" w:rsidRPr="0073355B" w:rsidRDefault="0073355B" w:rsidP="007B4700">
            <w:pPr>
              <w:spacing w:line="240" w:lineRule="auto"/>
              <w:contextualSpacing w:val="0"/>
              <w:jc w:val="center"/>
              <w:rPr>
                <w:rFonts w:eastAsia="Times New Roman"/>
                <w:bCs/>
                <w:sz w:val="18"/>
                <w:szCs w:val="18"/>
                <w:lang w:eastAsia="es-CO"/>
              </w:rPr>
            </w:pPr>
            <w:r w:rsidRPr="00DE1231">
              <w:rPr>
                <w:rFonts w:eastAsia="Times New Roman"/>
                <w:bCs/>
                <w:sz w:val="18"/>
                <w:szCs w:val="18"/>
                <w:lang w:eastAsia="es-CO"/>
              </w:rPr>
              <w:t>DEMANDA HÍDRICA</w:t>
            </w:r>
          </w:p>
        </w:tc>
      </w:tr>
      <w:tr w:rsidR="0073355B" w:rsidRPr="0073355B" w:rsidTr="007B4700">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left w:val="none" w:sz="0" w:space="0" w:color="auto"/>
            </w:tcBorders>
            <w:noWrap/>
            <w:vAlign w:val="center"/>
            <w:hideMark/>
          </w:tcPr>
          <w:p w:rsidR="0073355B" w:rsidRPr="0073355B" w:rsidRDefault="0073355B" w:rsidP="007B4700">
            <w:pPr>
              <w:spacing w:line="240" w:lineRule="auto"/>
              <w:contextualSpacing w:val="0"/>
              <w:jc w:val="center"/>
              <w:rPr>
                <w:rFonts w:eastAsia="Times New Roman"/>
                <w:b/>
                <w:bCs/>
                <w:sz w:val="18"/>
                <w:szCs w:val="18"/>
                <w:lang w:eastAsia="es-CO"/>
              </w:rPr>
            </w:pPr>
            <w:r w:rsidRPr="0073355B">
              <w:rPr>
                <w:rFonts w:eastAsia="Times New Roman"/>
                <w:b/>
                <w:bCs/>
                <w:sz w:val="18"/>
                <w:szCs w:val="18"/>
                <w:lang w:eastAsia="es-CO"/>
              </w:rPr>
              <w:t>CORANTIOQUIA</w:t>
            </w:r>
          </w:p>
        </w:tc>
      </w:tr>
      <w:tr w:rsidR="00DE1231" w:rsidRPr="00DE1231" w:rsidTr="007B4700">
        <w:trPr>
          <w:trHeight w:val="20"/>
        </w:trPr>
        <w:tc>
          <w:tcPr>
            <w:cnfStyle w:val="001000000000" w:firstRow="0" w:lastRow="0" w:firstColumn="1" w:lastColumn="0" w:oddVBand="0" w:evenVBand="0" w:oddHBand="0" w:evenHBand="0" w:firstRowFirstColumn="0" w:firstRowLastColumn="0" w:lastRowFirstColumn="0" w:lastRowLastColumn="0"/>
            <w:tcW w:w="1286" w:type="pct"/>
            <w:tcBorders>
              <w:left w:val="none" w:sz="0" w:space="0" w:color="auto"/>
            </w:tcBorders>
            <w:vAlign w:val="center"/>
            <w:hideMark/>
          </w:tcPr>
          <w:p w:rsidR="0073355B" w:rsidRPr="0073355B" w:rsidRDefault="0073355B" w:rsidP="007B4700">
            <w:pPr>
              <w:spacing w:line="240" w:lineRule="auto"/>
              <w:contextualSpacing w:val="0"/>
              <w:jc w:val="center"/>
              <w:rPr>
                <w:rFonts w:eastAsia="Times New Roman"/>
                <w:b/>
                <w:bCs/>
                <w:sz w:val="18"/>
                <w:szCs w:val="18"/>
                <w:lang w:eastAsia="es-CO"/>
              </w:rPr>
            </w:pPr>
            <w:r w:rsidRPr="0073355B">
              <w:rPr>
                <w:rFonts w:eastAsia="Times New Roman"/>
                <w:b/>
                <w:bCs/>
                <w:sz w:val="18"/>
                <w:szCs w:val="18"/>
                <w:lang w:eastAsia="es-CO"/>
              </w:rPr>
              <w:t>Tipo de requerimiento</w:t>
            </w:r>
          </w:p>
        </w:tc>
        <w:tc>
          <w:tcPr>
            <w:tcW w:w="1629" w:type="pct"/>
            <w:vAlign w:val="center"/>
            <w:hideMark/>
          </w:tcPr>
          <w:p w:rsidR="0073355B" w:rsidRPr="0073355B" w:rsidRDefault="0073355B"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es-CO"/>
              </w:rPr>
            </w:pPr>
            <w:r w:rsidRPr="0073355B">
              <w:rPr>
                <w:rFonts w:eastAsia="Times New Roman"/>
                <w:b/>
                <w:bCs/>
                <w:sz w:val="18"/>
                <w:szCs w:val="18"/>
                <w:lang w:eastAsia="es-CO"/>
              </w:rPr>
              <w:t>Volumen requerido (m3) *</w:t>
            </w:r>
          </w:p>
        </w:tc>
        <w:tc>
          <w:tcPr>
            <w:tcW w:w="1199" w:type="pct"/>
            <w:vAlign w:val="center"/>
            <w:hideMark/>
          </w:tcPr>
          <w:p w:rsidR="0073355B" w:rsidRPr="0073355B" w:rsidRDefault="0073355B"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es-CO"/>
              </w:rPr>
            </w:pPr>
            <w:r w:rsidRPr="0073355B">
              <w:rPr>
                <w:rFonts w:eastAsia="Times New Roman"/>
                <w:b/>
                <w:bCs/>
                <w:sz w:val="18"/>
                <w:szCs w:val="18"/>
                <w:lang w:eastAsia="es-CO"/>
              </w:rPr>
              <w:t>Valor m3 de agua **</w:t>
            </w:r>
          </w:p>
        </w:tc>
        <w:tc>
          <w:tcPr>
            <w:tcW w:w="887" w:type="pct"/>
            <w:vAlign w:val="center"/>
            <w:hideMark/>
          </w:tcPr>
          <w:p w:rsidR="0073355B" w:rsidRPr="0073355B" w:rsidRDefault="0073355B"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es-CO"/>
              </w:rPr>
            </w:pPr>
            <w:r w:rsidRPr="0073355B">
              <w:rPr>
                <w:rFonts w:eastAsia="Times New Roman"/>
                <w:b/>
                <w:bCs/>
                <w:sz w:val="18"/>
                <w:szCs w:val="18"/>
                <w:lang w:eastAsia="es-CO"/>
              </w:rPr>
              <w:t>Valor total ($)</w:t>
            </w:r>
          </w:p>
        </w:tc>
      </w:tr>
      <w:tr w:rsidR="00DE1231" w:rsidRPr="00DE1231" w:rsidTr="007B4700">
        <w:trPr>
          <w:trHeight w:val="20"/>
        </w:trPr>
        <w:tc>
          <w:tcPr>
            <w:cnfStyle w:val="001000000000" w:firstRow="0" w:lastRow="0" w:firstColumn="1" w:lastColumn="0" w:oddVBand="0" w:evenVBand="0" w:oddHBand="0" w:evenHBand="0" w:firstRowFirstColumn="0" w:firstRowLastColumn="0" w:lastRowFirstColumn="0" w:lastRowLastColumn="0"/>
            <w:tcW w:w="1286" w:type="pct"/>
            <w:tcBorders>
              <w:left w:val="none" w:sz="0" w:space="0" w:color="auto"/>
            </w:tcBorders>
            <w:vAlign w:val="center"/>
            <w:hideMark/>
          </w:tcPr>
          <w:p w:rsidR="0073355B" w:rsidRPr="0073355B" w:rsidRDefault="0073355B" w:rsidP="007B4700">
            <w:pPr>
              <w:spacing w:line="240" w:lineRule="auto"/>
              <w:contextualSpacing w:val="0"/>
              <w:jc w:val="center"/>
              <w:rPr>
                <w:rFonts w:eastAsia="Times New Roman"/>
                <w:color w:val="000000"/>
                <w:sz w:val="18"/>
                <w:szCs w:val="18"/>
                <w:lang w:eastAsia="es-CO"/>
              </w:rPr>
            </w:pPr>
            <w:r w:rsidRPr="0073355B">
              <w:rPr>
                <w:rFonts w:eastAsia="Times New Roman"/>
                <w:color w:val="000000"/>
                <w:sz w:val="18"/>
                <w:szCs w:val="18"/>
                <w:lang w:eastAsia="es-CO"/>
              </w:rPr>
              <w:t>Planta de Concreto MI</w:t>
            </w:r>
          </w:p>
        </w:tc>
        <w:tc>
          <w:tcPr>
            <w:tcW w:w="1629" w:type="pct"/>
            <w:vAlign w:val="center"/>
            <w:hideMark/>
          </w:tcPr>
          <w:p w:rsidR="0073355B" w:rsidRPr="0073355B" w:rsidRDefault="0073355B"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73355B">
              <w:rPr>
                <w:rFonts w:eastAsia="Times New Roman"/>
                <w:color w:val="000000"/>
                <w:sz w:val="18"/>
                <w:szCs w:val="18"/>
                <w:lang w:eastAsia="es-CO"/>
              </w:rPr>
              <w:t>748.800</w:t>
            </w:r>
          </w:p>
        </w:tc>
        <w:tc>
          <w:tcPr>
            <w:tcW w:w="1199" w:type="pct"/>
            <w:noWrap/>
            <w:vAlign w:val="center"/>
            <w:hideMark/>
          </w:tcPr>
          <w:p w:rsidR="0073355B" w:rsidRPr="0073355B" w:rsidRDefault="0073355B"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73355B">
              <w:rPr>
                <w:rFonts w:eastAsia="Times New Roman"/>
                <w:sz w:val="18"/>
                <w:szCs w:val="18"/>
                <w:lang w:eastAsia="es-CO"/>
              </w:rPr>
              <w:t>0,73</w:t>
            </w:r>
          </w:p>
        </w:tc>
        <w:tc>
          <w:tcPr>
            <w:tcW w:w="887" w:type="pct"/>
            <w:noWrap/>
            <w:vAlign w:val="center"/>
            <w:hideMark/>
          </w:tcPr>
          <w:p w:rsidR="0073355B" w:rsidRPr="0073355B" w:rsidRDefault="0073355B"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73355B">
              <w:rPr>
                <w:rFonts w:eastAsia="Times New Roman"/>
                <w:sz w:val="18"/>
                <w:szCs w:val="18"/>
                <w:lang w:eastAsia="es-CO"/>
              </w:rPr>
              <w:t>548.121,6</w:t>
            </w:r>
          </w:p>
        </w:tc>
      </w:tr>
      <w:tr w:rsidR="00DE1231" w:rsidRPr="00DE1231" w:rsidTr="007B4700">
        <w:trPr>
          <w:trHeight w:val="20"/>
        </w:trPr>
        <w:tc>
          <w:tcPr>
            <w:cnfStyle w:val="001000000000" w:firstRow="0" w:lastRow="0" w:firstColumn="1" w:lastColumn="0" w:oddVBand="0" w:evenVBand="0" w:oddHBand="0" w:evenHBand="0" w:firstRowFirstColumn="0" w:firstRowLastColumn="0" w:lastRowFirstColumn="0" w:lastRowLastColumn="0"/>
            <w:tcW w:w="1286" w:type="pct"/>
            <w:tcBorders>
              <w:left w:val="none" w:sz="0" w:space="0" w:color="auto"/>
            </w:tcBorders>
            <w:vAlign w:val="center"/>
            <w:hideMark/>
          </w:tcPr>
          <w:p w:rsidR="0073355B" w:rsidRPr="0073355B" w:rsidRDefault="0073355B" w:rsidP="007B4700">
            <w:pPr>
              <w:spacing w:line="240" w:lineRule="auto"/>
              <w:contextualSpacing w:val="0"/>
              <w:jc w:val="center"/>
              <w:rPr>
                <w:rFonts w:eastAsia="Times New Roman"/>
                <w:color w:val="000000"/>
                <w:sz w:val="18"/>
                <w:szCs w:val="18"/>
                <w:lang w:eastAsia="es-CO"/>
              </w:rPr>
            </w:pPr>
            <w:r w:rsidRPr="0073355B">
              <w:rPr>
                <w:rFonts w:eastAsia="Times New Roman"/>
                <w:color w:val="000000"/>
                <w:sz w:val="18"/>
                <w:szCs w:val="18"/>
                <w:lang w:eastAsia="es-CO"/>
              </w:rPr>
              <w:t>Planta de asfalto las margaritas</w:t>
            </w:r>
          </w:p>
        </w:tc>
        <w:tc>
          <w:tcPr>
            <w:tcW w:w="1629" w:type="pct"/>
            <w:vAlign w:val="center"/>
            <w:hideMark/>
          </w:tcPr>
          <w:p w:rsidR="0073355B" w:rsidRPr="0073355B" w:rsidRDefault="0073355B"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73355B">
              <w:rPr>
                <w:rFonts w:eastAsia="Times New Roman"/>
                <w:color w:val="000000"/>
                <w:sz w:val="18"/>
                <w:szCs w:val="18"/>
                <w:lang w:eastAsia="es-CO"/>
              </w:rPr>
              <w:t>43.200</w:t>
            </w:r>
          </w:p>
        </w:tc>
        <w:tc>
          <w:tcPr>
            <w:tcW w:w="1199" w:type="pct"/>
            <w:noWrap/>
            <w:vAlign w:val="center"/>
            <w:hideMark/>
          </w:tcPr>
          <w:p w:rsidR="0073355B" w:rsidRPr="0073355B" w:rsidRDefault="0073355B"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73355B">
              <w:rPr>
                <w:rFonts w:eastAsia="Times New Roman"/>
                <w:sz w:val="18"/>
                <w:szCs w:val="18"/>
                <w:lang w:eastAsia="es-CO"/>
              </w:rPr>
              <w:t>0,73</w:t>
            </w:r>
          </w:p>
        </w:tc>
        <w:tc>
          <w:tcPr>
            <w:tcW w:w="887" w:type="pct"/>
            <w:noWrap/>
            <w:vAlign w:val="center"/>
            <w:hideMark/>
          </w:tcPr>
          <w:p w:rsidR="0073355B" w:rsidRPr="0073355B" w:rsidRDefault="0073355B"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73355B">
              <w:rPr>
                <w:rFonts w:eastAsia="Times New Roman"/>
                <w:sz w:val="18"/>
                <w:szCs w:val="18"/>
                <w:lang w:eastAsia="es-CO"/>
              </w:rPr>
              <w:t>31.622,4</w:t>
            </w:r>
          </w:p>
        </w:tc>
      </w:tr>
      <w:tr w:rsidR="00DE1231" w:rsidRPr="00DE1231" w:rsidTr="007B4700">
        <w:trPr>
          <w:trHeight w:val="20"/>
        </w:trPr>
        <w:tc>
          <w:tcPr>
            <w:cnfStyle w:val="001000000000" w:firstRow="0" w:lastRow="0" w:firstColumn="1" w:lastColumn="0" w:oddVBand="0" w:evenVBand="0" w:oddHBand="0" w:evenHBand="0" w:firstRowFirstColumn="0" w:firstRowLastColumn="0" w:lastRowFirstColumn="0" w:lastRowLastColumn="0"/>
            <w:tcW w:w="1286" w:type="pct"/>
            <w:tcBorders>
              <w:left w:val="none" w:sz="0" w:space="0" w:color="auto"/>
            </w:tcBorders>
            <w:vAlign w:val="center"/>
            <w:hideMark/>
          </w:tcPr>
          <w:p w:rsidR="0073355B" w:rsidRPr="0073355B" w:rsidRDefault="0073355B" w:rsidP="007B4700">
            <w:pPr>
              <w:spacing w:line="240" w:lineRule="auto"/>
              <w:contextualSpacing w:val="0"/>
              <w:jc w:val="center"/>
              <w:rPr>
                <w:rFonts w:eastAsia="Times New Roman"/>
                <w:color w:val="000000"/>
                <w:sz w:val="18"/>
                <w:szCs w:val="18"/>
                <w:lang w:eastAsia="es-CO"/>
              </w:rPr>
            </w:pPr>
            <w:r w:rsidRPr="0073355B">
              <w:rPr>
                <w:rFonts w:eastAsia="Times New Roman"/>
                <w:color w:val="000000"/>
                <w:sz w:val="18"/>
                <w:szCs w:val="18"/>
                <w:lang w:eastAsia="es-CO"/>
              </w:rPr>
              <w:t>Perdida</w:t>
            </w:r>
          </w:p>
        </w:tc>
        <w:tc>
          <w:tcPr>
            <w:tcW w:w="1629" w:type="pct"/>
            <w:vAlign w:val="center"/>
            <w:hideMark/>
          </w:tcPr>
          <w:p w:rsidR="0073355B" w:rsidRPr="0073355B" w:rsidRDefault="0073355B"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73355B">
              <w:rPr>
                <w:rFonts w:eastAsia="Times New Roman"/>
                <w:color w:val="000000"/>
                <w:sz w:val="18"/>
                <w:szCs w:val="18"/>
                <w:lang w:eastAsia="es-CO"/>
              </w:rPr>
              <w:t>90.000</w:t>
            </w:r>
          </w:p>
        </w:tc>
        <w:tc>
          <w:tcPr>
            <w:tcW w:w="1199" w:type="pct"/>
            <w:noWrap/>
            <w:vAlign w:val="center"/>
            <w:hideMark/>
          </w:tcPr>
          <w:p w:rsidR="0073355B" w:rsidRPr="0073355B" w:rsidRDefault="0073355B"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73355B">
              <w:rPr>
                <w:rFonts w:eastAsia="Times New Roman"/>
                <w:sz w:val="18"/>
                <w:szCs w:val="18"/>
                <w:lang w:eastAsia="es-CO"/>
              </w:rPr>
              <w:t>0,73</w:t>
            </w:r>
          </w:p>
        </w:tc>
        <w:tc>
          <w:tcPr>
            <w:tcW w:w="887" w:type="pct"/>
            <w:noWrap/>
            <w:vAlign w:val="center"/>
            <w:hideMark/>
          </w:tcPr>
          <w:p w:rsidR="0073355B" w:rsidRPr="0073355B" w:rsidRDefault="0073355B"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73355B">
              <w:rPr>
                <w:rFonts w:eastAsia="Times New Roman"/>
                <w:sz w:val="18"/>
                <w:szCs w:val="18"/>
                <w:lang w:eastAsia="es-CO"/>
              </w:rPr>
              <w:t>65.880,0</w:t>
            </w:r>
          </w:p>
        </w:tc>
      </w:tr>
      <w:tr w:rsidR="0073355B" w:rsidRPr="0073355B" w:rsidTr="007B4700">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left w:val="none" w:sz="0" w:space="0" w:color="auto"/>
            </w:tcBorders>
            <w:noWrap/>
            <w:vAlign w:val="center"/>
            <w:hideMark/>
          </w:tcPr>
          <w:p w:rsidR="0073355B" w:rsidRPr="0073355B" w:rsidRDefault="0073355B" w:rsidP="007B4700">
            <w:pPr>
              <w:spacing w:line="240" w:lineRule="auto"/>
              <w:contextualSpacing w:val="0"/>
              <w:jc w:val="center"/>
              <w:rPr>
                <w:rFonts w:eastAsia="Times New Roman"/>
                <w:b/>
                <w:bCs/>
                <w:sz w:val="18"/>
                <w:szCs w:val="18"/>
                <w:lang w:eastAsia="es-CO"/>
              </w:rPr>
            </w:pPr>
            <w:r w:rsidRPr="0073355B">
              <w:rPr>
                <w:rFonts w:eastAsia="Times New Roman"/>
                <w:b/>
                <w:bCs/>
                <w:sz w:val="18"/>
                <w:szCs w:val="18"/>
                <w:lang w:eastAsia="es-CO"/>
              </w:rPr>
              <w:t>CAS</w:t>
            </w:r>
          </w:p>
        </w:tc>
      </w:tr>
      <w:tr w:rsidR="00DE1231" w:rsidRPr="00DE1231" w:rsidTr="007B4700">
        <w:trPr>
          <w:trHeight w:val="20"/>
        </w:trPr>
        <w:tc>
          <w:tcPr>
            <w:cnfStyle w:val="001000000000" w:firstRow="0" w:lastRow="0" w:firstColumn="1" w:lastColumn="0" w:oddVBand="0" w:evenVBand="0" w:oddHBand="0" w:evenHBand="0" w:firstRowFirstColumn="0" w:firstRowLastColumn="0" w:lastRowFirstColumn="0" w:lastRowLastColumn="0"/>
            <w:tcW w:w="1286" w:type="pct"/>
            <w:tcBorders>
              <w:left w:val="none" w:sz="0" w:space="0" w:color="auto"/>
            </w:tcBorders>
            <w:vAlign w:val="center"/>
            <w:hideMark/>
          </w:tcPr>
          <w:p w:rsidR="0073355B" w:rsidRPr="0073355B" w:rsidRDefault="0073355B" w:rsidP="007B4700">
            <w:pPr>
              <w:spacing w:line="240" w:lineRule="auto"/>
              <w:contextualSpacing w:val="0"/>
              <w:jc w:val="center"/>
              <w:rPr>
                <w:rFonts w:eastAsia="Times New Roman"/>
                <w:b/>
                <w:bCs/>
                <w:sz w:val="18"/>
                <w:szCs w:val="18"/>
                <w:lang w:eastAsia="es-CO"/>
              </w:rPr>
            </w:pPr>
            <w:r w:rsidRPr="0073355B">
              <w:rPr>
                <w:rFonts w:eastAsia="Times New Roman"/>
                <w:b/>
                <w:bCs/>
                <w:sz w:val="18"/>
                <w:szCs w:val="18"/>
                <w:lang w:eastAsia="es-CO"/>
              </w:rPr>
              <w:t>Tipo de requerimiento</w:t>
            </w:r>
          </w:p>
        </w:tc>
        <w:tc>
          <w:tcPr>
            <w:tcW w:w="1629" w:type="pct"/>
            <w:vAlign w:val="center"/>
            <w:hideMark/>
          </w:tcPr>
          <w:p w:rsidR="0073355B" w:rsidRPr="0073355B" w:rsidRDefault="0073355B"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es-CO"/>
              </w:rPr>
            </w:pPr>
            <w:r w:rsidRPr="0073355B">
              <w:rPr>
                <w:rFonts w:eastAsia="Times New Roman"/>
                <w:b/>
                <w:bCs/>
                <w:sz w:val="18"/>
                <w:szCs w:val="18"/>
                <w:lang w:eastAsia="es-CO"/>
              </w:rPr>
              <w:t>Volumen requerido (m3) *</w:t>
            </w:r>
          </w:p>
        </w:tc>
        <w:tc>
          <w:tcPr>
            <w:tcW w:w="1199" w:type="pct"/>
            <w:vAlign w:val="center"/>
            <w:hideMark/>
          </w:tcPr>
          <w:p w:rsidR="0073355B" w:rsidRPr="0073355B" w:rsidRDefault="0073355B"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es-CO"/>
              </w:rPr>
            </w:pPr>
            <w:r w:rsidRPr="0073355B">
              <w:rPr>
                <w:rFonts w:eastAsia="Times New Roman"/>
                <w:b/>
                <w:bCs/>
                <w:sz w:val="18"/>
                <w:szCs w:val="18"/>
                <w:lang w:eastAsia="es-CO"/>
              </w:rPr>
              <w:t>Valor m3 de agua **</w:t>
            </w:r>
          </w:p>
        </w:tc>
        <w:tc>
          <w:tcPr>
            <w:tcW w:w="887" w:type="pct"/>
            <w:vAlign w:val="center"/>
            <w:hideMark/>
          </w:tcPr>
          <w:p w:rsidR="0073355B" w:rsidRPr="0073355B" w:rsidRDefault="0073355B"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es-CO"/>
              </w:rPr>
            </w:pPr>
            <w:r w:rsidRPr="0073355B">
              <w:rPr>
                <w:rFonts w:eastAsia="Times New Roman"/>
                <w:b/>
                <w:bCs/>
                <w:sz w:val="18"/>
                <w:szCs w:val="18"/>
                <w:lang w:eastAsia="es-CO"/>
              </w:rPr>
              <w:t>Valor total ($)</w:t>
            </w:r>
          </w:p>
        </w:tc>
      </w:tr>
      <w:tr w:rsidR="00DE1231" w:rsidRPr="00DE1231" w:rsidTr="007B4700">
        <w:trPr>
          <w:trHeight w:val="20"/>
        </w:trPr>
        <w:tc>
          <w:tcPr>
            <w:cnfStyle w:val="001000000000" w:firstRow="0" w:lastRow="0" w:firstColumn="1" w:lastColumn="0" w:oddVBand="0" w:evenVBand="0" w:oddHBand="0" w:evenHBand="0" w:firstRowFirstColumn="0" w:firstRowLastColumn="0" w:lastRowFirstColumn="0" w:lastRowLastColumn="0"/>
            <w:tcW w:w="1286" w:type="pct"/>
            <w:tcBorders>
              <w:left w:val="none" w:sz="0" w:space="0" w:color="auto"/>
            </w:tcBorders>
            <w:vAlign w:val="center"/>
            <w:hideMark/>
          </w:tcPr>
          <w:p w:rsidR="0073355B" w:rsidRPr="0073355B" w:rsidRDefault="0073355B" w:rsidP="007B4700">
            <w:pPr>
              <w:spacing w:line="240" w:lineRule="auto"/>
              <w:contextualSpacing w:val="0"/>
              <w:jc w:val="center"/>
              <w:rPr>
                <w:rFonts w:eastAsia="Times New Roman"/>
                <w:color w:val="000000"/>
                <w:sz w:val="18"/>
                <w:szCs w:val="18"/>
                <w:lang w:eastAsia="es-CO"/>
              </w:rPr>
            </w:pPr>
            <w:r w:rsidRPr="0073355B">
              <w:rPr>
                <w:rFonts w:eastAsia="Times New Roman"/>
                <w:color w:val="000000"/>
                <w:sz w:val="18"/>
                <w:szCs w:val="18"/>
                <w:lang w:eastAsia="es-CO"/>
              </w:rPr>
              <w:t>Planta de Concreto</w:t>
            </w:r>
          </w:p>
        </w:tc>
        <w:tc>
          <w:tcPr>
            <w:tcW w:w="1629" w:type="pct"/>
            <w:vAlign w:val="center"/>
            <w:hideMark/>
          </w:tcPr>
          <w:p w:rsidR="0073355B" w:rsidRPr="0073355B" w:rsidRDefault="0073355B"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73355B">
              <w:rPr>
                <w:rFonts w:eastAsia="Times New Roman"/>
                <w:color w:val="000000"/>
                <w:sz w:val="18"/>
                <w:szCs w:val="18"/>
                <w:lang w:eastAsia="es-CO"/>
              </w:rPr>
              <w:t>748.800</w:t>
            </w:r>
          </w:p>
        </w:tc>
        <w:tc>
          <w:tcPr>
            <w:tcW w:w="1199" w:type="pct"/>
            <w:noWrap/>
            <w:vAlign w:val="center"/>
            <w:hideMark/>
          </w:tcPr>
          <w:p w:rsidR="0073355B" w:rsidRPr="0073355B" w:rsidRDefault="0073355B"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73355B">
              <w:rPr>
                <w:rFonts w:eastAsia="Times New Roman"/>
                <w:sz w:val="18"/>
                <w:szCs w:val="18"/>
                <w:lang w:eastAsia="es-CO"/>
              </w:rPr>
              <w:t>0,73</w:t>
            </w:r>
          </w:p>
        </w:tc>
        <w:tc>
          <w:tcPr>
            <w:tcW w:w="887" w:type="pct"/>
            <w:noWrap/>
            <w:vAlign w:val="center"/>
            <w:hideMark/>
          </w:tcPr>
          <w:p w:rsidR="0073355B" w:rsidRPr="0073355B" w:rsidRDefault="0073355B"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73355B">
              <w:rPr>
                <w:rFonts w:eastAsia="Times New Roman"/>
                <w:sz w:val="18"/>
                <w:szCs w:val="18"/>
                <w:lang w:eastAsia="es-CO"/>
              </w:rPr>
              <w:t>548.121,6</w:t>
            </w:r>
          </w:p>
        </w:tc>
      </w:tr>
      <w:tr w:rsidR="00DE1231" w:rsidRPr="00DE1231" w:rsidTr="007B4700">
        <w:trPr>
          <w:trHeight w:val="20"/>
        </w:trPr>
        <w:tc>
          <w:tcPr>
            <w:cnfStyle w:val="001000000000" w:firstRow="0" w:lastRow="0" w:firstColumn="1" w:lastColumn="0" w:oddVBand="0" w:evenVBand="0" w:oddHBand="0" w:evenHBand="0" w:firstRowFirstColumn="0" w:firstRowLastColumn="0" w:lastRowFirstColumn="0" w:lastRowLastColumn="0"/>
            <w:tcW w:w="1286" w:type="pct"/>
            <w:tcBorders>
              <w:left w:val="none" w:sz="0" w:space="0" w:color="auto"/>
            </w:tcBorders>
            <w:vAlign w:val="center"/>
            <w:hideMark/>
          </w:tcPr>
          <w:p w:rsidR="0073355B" w:rsidRPr="0073355B" w:rsidRDefault="0073355B" w:rsidP="007B4700">
            <w:pPr>
              <w:spacing w:line="240" w:lineRule="auto"/>
              <w:contextualSpacing w:val="0"/>
              <w:jc w:val="center"/>
              <w:rPr>
                <w:rFonts w:eastAsia="Times New Roman"/>
                <w:color w:val="000000"/>
                <w:sz w:val="18"/>
                <w:szCs w:val="18"/>
                <w:lang w:eastAsia="es-CO"/>
              </w:rPr>
            </w:pPr>
            <w:r w:rsidRPr="0073355B">
              <w:rPr>
                <w:rFonts w:eastAsia="Times New Roman"/>
                <w:color w:val="000000"/>
                <w:sz w:val="18"/>
                <w:szCs w:val="18"/>
                <w:lang w:eastAsia="es-CO"/>
              </w:rPr>
              <w:t>Perdida</w:t>
            </w:r>
          </w:p>
        </w:tc>
        <w:tc>
          <w:tcPr>
            <w:tcW w:w="1629" w:type="pct"/>
            <w:vAlign w:val="center"/>
            <w:hideMark/>
          </w:tcPr>
          <w:p w:rsidR="0073355B" w:rsidRPr="0073355B" w:rsidRDefault="0073355B"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73355B">
              <w:rPr>
                <w:rFonts w:eastAsia="Times New Roman"/>
                <w:color w:val="000000"/>
                <w:sz w:val="18"/>
                <w:szCs w:val="18"/>
                <w:lang w:eastAsia="es-CO"/>
              </w:rPr>
              <w:t>28.800</w:t>
            </w:r>
          </w:p>
        </w:tc>
        <w:tc>
          <w:tcPr>
            <w:tcW w:w="1199" w:type="pct"/>
            <w:noWrap/>
            <w:vAlign w:val="center"/>
            <w:hideMark/>
          </w:tcPr>
          <w:p w:rsidR="0073355B" w:rsidRPr="0073355B" w:rsidRDefault="0073355B"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73355B">
              <w:rPr>
                <w:rFonts w:eastAsia="Times New Roman"/>
                <w:sz w:val="18"/>
                <w:szCs w:val="18"/>
                <w:lang w:eastAsia="es-CO"/>
              </w:rPr>
              <w:t>0,73</w:t>
            </w:r>
          </w:p>
        </w:tc>
        <w:tc>
          <w:tcPr>
            <w:tcW w:w="887" w:type="pct"/>
            <w:noWrap/>
            <w:vAlign w:val="center"/>
            <w:hideMark/>
          </w:tcPr>
          <w:p w:rsidR="0073355B" w:rsidRPr="0073355B" w:rsidRDefault="0073355B"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73355B">
              <w:rPr>
                <w:rFonts w:eastAsia="Times New Roman"/>
                <w:sz w:val="18"/>
                <w:szCs w:val="18"/>
                <w:lang w:eastAsia="es-CO"/>
              </w:rPr>
              <w:t>21.081,6</w:t>
            </w:r>
          </w:p>
        </w:tc>
      </w:tr>
      <w:tr w:rsidR="0073355B" w:rsidRPr="0073355B" w:rsidTr="007B4700">
        <w:trPr>
          <w:trHeight w:val="20"/>
        </w:trPr>
        <w:tc>
          <w:tcPr>
            <w:cnfStyle w:val="001000000000" w:firstRow="0" w:lastRow="0" w:firstColumn="1" w:lastColumn="0" w:oddVBand="0" w:evenVBand="0" w:oddHBand="0" w:evenHBand="0" w:firstRowFirstColumn="0" w:firstRowLastColumn="0" w:lastRowFirstColumn="0" w:lastRowLastColumn="0"/>
            <w:tcW w:w="4113" w:type="pct"/>
            <w:gridSpan w:val="3"/>
            <w:tcBorders>
              <w:left w:val="none" w:sz="0" w:space="0" w:color="auto"/>
            </w:tcBorders>
            <w:shd w:val="clear" w:color="auto" w:fill="F2F2F2" w:themeFill="background1" w:themeFillShade="F2"/>
            <w:noWrap/>
            <w:vAlign w:val="center"/>
            <w:hideMark/>
          </w:tcPr>
          <w:p w:rsidR="0073355B" w:rsidRPr="0073355B" w:rsidRDefault="0073355B" w:rsidP="007B4700">
            <w:pPr>
              <w:spacing w:line="240" w:lineRule="auto"/>
              <w:contextualSpacing w:val="0"/>
              <w:jc w:val="center"/>
              <w:rPr>
                <w:rFonts w:eastAsia="Times New Roman"/>
                <w:b/>
                <w:bCs/>
                <w:sz w:val="18"/>
                <w:szCs w:val="18"/>
                <w:lang w:eastAsia="es-CO"/>
              </w:rPr>
            </w:pPr>
            <w:r w:rsidRPr="0073355B">
              <w:rPr>
                <w:rFonts w:eastAsia="Times New Roman"/>
                <w:b/>
                <w:bCs/>
                <w:sz w:val="18"/>
                <w:szCs w:val="18"/>
                <w:lang w:eastAsia="es-CO"/>
              </w:rPr>
              <w:t>Valor Total ($)</w:t>
            </w:r>
          </w:p>
        </w:tc>
        <w:tc>
          <w:tcPr>
            <w:tcW w:w="887" w:type="pct"/>
            <w:shd w:val="clear" w:color="auto" w:fill="F2F2F2" w:themeFill="background1" w:themeFillShade="F2"/>
            <w:noWrap/>
            <w:vAlign w:val="center"/>
            <w:hideMark/>
          </w:tcPr>
          <w:p w:rsidR="0073355B" w:rsidRPr="0073355B" w:rsidRDefault="00186175"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es-CO"/>
              </w:rPr>
            </w:pPr>
            <w:r w:rsidRPr="00DE1231">
              <w:rPr>
                <w:rFonts w:eastAsia="Times New Roman"/>
                <w:b/>
                <w:bCs/>
                <w:sz w:val="18"/>
                <w:szCs w:val="18"/>
                <w:lang w:eastAsia="es-CO"/>
              </w:rPr>
              <w:t>569.203</w:t>
            </w:r>
          </w:p>
        </w:tc>
      </w:tr>
      <w:tr w:rsidR="0073355B" w:rsidRPr="0073355B" w:rsidTr="007B4700">
        <w:trPr>
          <w:trHeight w:val="20"/>
        </w:trPr>
        <w:tc>
          <w:tcPr>
            <w:cnfStyle w:val="001000000000" w:firstRow="0" w:lastRow="0" w:firstColumn="1" w:lastColumn="0" w:oddVBand="0" w:evenVBand="0" w:oddHBand="0" w:evenHBand="0" w:firstRowFirstColumn="0" w:firstRowLastColumn="0" w:lastRowFirstColumn="0" w:lastRowLastColumn="0"/>
            <w:tcW w:w="4113" w:type="pct"/>
            <w:gridSpan w:val="3"/>
            <w:tcBorders>
              <w:left w:val="none" w:sz="0" w:space="0" w:color="auto"/>
            </w:tcBorders>
            <w:noWrap/>
            <w:vAlign w:val="center"/>
            <w:hideMark/>
          </w:tcPr>
          <w:p w:rsidR="0073355B" w:rsidRPr="0073355B" w:rsidRDefault="0073355B" w:rsidP="007B4700">
            <w:pPr>
              <w:spacing w:line="240" w:lineRule="auto"/>
              <w:contextualSpacing w:val="0"/>
              <w:jc w:val="center"/>
              <w:rPr>
                <w:rFonts w:eastAsia="Times New Roman"/>
                <w:sz w:val="18"/>
                <w:szCs w:val="18"/>
                <w:lang w:eastAsia="es-CO"/>
              </w:rPr>
            </w:pPr>
            <w:r w:rsidRPr="0073355B">
              <w:rPr>
                <w:rFonts w:eastAsia="Times New Roman"/>
                <w:sz w:val="18"/>
                <w:szCs w:val="18"/>
                <w:lang w:eastAsia="es-CO"/>
              </w:rPr>
              <w:t>Valor Presente Neto ($)</w:t>
            </w:r>
          </w:p>
        </w:tc>
        <w:tc>
          <w:tcPr>
            <w:tcW w:w="887" w:type="pct"/>
            <w:noWrap/>
            <w:vAlign w:val="center"/>
            <w:hideMark/>
          </w:tcPr>
          <w:p w:rsidR="0073355B" w:rsidRPr="0073355B" w:rsidRDefault="005B22DF" w:rsidP="007B4700">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E1231">
              <w:rPr>
                <w:rFonts w:eastAsia="Times New Roman"/>
                <w:color w:val="000000"/>
                <w:sz w:val="18"/>
                <w:szCs w:val="18"/>
                <w:lang w:eastAsia="es-CO"/>
              </w:rPr>
              <w:t>508.217</w:t>
            </w:r>
          </w:p>
        </w:tc>
      </w:tr>
    </w:tbl>
    <w:p w:rsidR="00A01F54" w:rsidRPr="00AA0A2C" w:rsidRDefault="007B4700" w:rsidP="007B4700">
      <w:pPr>
        <w:pStyle w:val="Notas"/>
      </w:pPr>
      <w:r>
        <w:t xml:space="preserve">Fuente </w:t>
      </w:r>
      <w:r w:rsidR="00A01F54" w:rsidRPr="00AA0A2C">
        <w:t>Fuente: Autopista Rio Magdalena S.A.S., 2016.</w:t>
      </w:r>
    </w:p>
    <w:p w:rsidR="00186175" w:rsidRPr="00186175" w:rsidRDefault="00186175" w:rsidP="00186175">
      <w:pPr>
        <w:rPr>
          <w:rFonts w:asciiTheme="majorHAnsi" w:hAnsiTheme="majorHAnsi"/>
          <w:sz w:val="18"/>
        </w:rPr>
      </w:pPr>
      <w:r w:rsidRPr="00186175">
        <w:rPr>
          <w:rFonts w:asciiTheme="majorHAnsi" w:hAnsiTheme="majorHAnsi"/>
          <w:sz w:val="18"/>
        </w:rPr>
        <w:t>*: La necesidad total de agua para el proyecto es suministrada por Autopista Río Magdalena S.A.S en el escenario más crítico (demanda/día por 30 días por 12 meses).</w:t>
      </w:r>
      <w:r w:rsidRPr="00186175">
        <w:rPr>
          <w:rFonts w:asciiTheme="majorHAnsi" w:hAnsiTheme="majorHAnsi"/>
          <w:sz w:val="18"/>
        </w:rPr>
        <w:tab/>
      </w:r>
      <w:r w:rsidRPr="00186175">
        <w:rPr>
          <w:rFonts w:asciiTheme="majorHAnsi" w:hAnsiTheme="majorHAnsi"/>
          <w:sz w:val="18"/>
        </w:rPr>
        <w:tab/>
      </w:r>
      <w:r w:rsidRPr="00186175">
        <w:rPr>
          <w:rFonts w:asciiTheme="majorHAnsi" w:hAnsiTheme="majorHAnsi"/>
          <w:sz w:val="18"/>
        </w:rPr>
        <w:tab/>
      </w:r>
    </w:p>
    <w:p w:rsidR="00AA0A2C" w:rsidRPr="00AA0A2C" w:rsidRDefault="00186175" w:rsidP="00186175">
      <w:pPr>
        <w:rPr>
          <w:rFonts w:asciiTheme="majorHAnsi" w:hAnsiTheme="majorHAnsi"/>
          <w:bCs/>
          <w:sz w:val="18"/>
          <w:szCs w:val="18"/>
        </w:rPr>
      </w:pPr>
      <w:r w:rsidRPr="00186175">
        <w:rPr>
          <w:rFonts w:asciiTheme="majorHAnsi" w:hAnsiTheme="majorHAnsi"/>
          <w:sz w:val="18"/>
        </w:rPr>
        <w:t>**:  Tarifa por Uso de Agua promedio establecida por el MAVDT en Res. 240 de 2004. Actualizado con IPC a diciembre de 2015.</w:t>
      </w:r>
      <w:r w:rsidRPr="00186175">
        <w:rPr>
          <w:rFonts w:asciiTheme="majorHAnsi" w:hAnsiTheme="majorHAnsi"/>
          <w:sz w:val="18"/>
        </w:rPr>
        <w:tab/>
      </w:r>
      <w:r w:rsidRPr="00186175">
        <w:rPr>
          <w:rFonts w:asciiTheme="majorHAnsi" w:hAnsiTheme="majorHAnsi" w:cs="Arial"/>
          <w:b/>
        </w:rPr>
        <w:tab/>
      </w:r>
      <w:r w:rsidRPr="00186175">
        <w:rPr>
          <w:rFonts w:asciiTheme="majorHAnsi" w:hAnsiTheme="majorHAnsi" w:cs="Arial"/>
          <w:b/>
        </w:rPr>
        <w:tab/>
      </w:r>
      <w:r w:rsidR="00AA0A2C" w:rsidRPr="00AA0A2C">
        <w:rPr>
          <w:rFonts w:asciiTheme="majorHAnsi" w:hAnsiTheme="majorHAnsi"/>
          <w:bCs/>
          <w:sz w:val="18"/>
          <w:szCs w:val="18"/>
        </w:rPr>
        <w:tab/>
      </w:r>
      <w:r w:rsidR="00AA0A2C" w:rsidRPr="00AA0A2C">
        <w:rPr>
          <w:rFonts w:asciiTheme="majorHAnsi" w:hAnsiTheme="majorHAnsi"/>
          <w:bCs/>
          <w:sz w:val="18"/>
          <w:szCs w:val="18"/>
        </w:rPr>
        <w:tab/>
      </w:r>
      <w:r w:rsidR="00AA0A2C" w:rsidRPr="00AA0A2C">
        <w:rPr>
          <w:rFonts w:asciiTheme="majorHAnsi" w:hAnsiTheme="majorHAnsi"/>
          <w:bCs/>
          <w:sz w:val="18"/>
          <w:szCs w:val="18"/>
        </w:rPr>
        <w:tab/>
      </w:r>
    </w:p>
    <w:p w:rsidR="00AA0A2C" w:rsidRPr="00AA0A2C" w:rsidRDefault="00AA0A2C" w:rsidP="00AA0A2C">
      <w:pPr>
        <w:rPr>
          <w:rFonts w:asciiTheme="majorHAnsi" w:hAnsiTheme="majorHAnsi"/>
          <w:b/>
          <w:sz w:val="20"/>
          <w:szCs w:val="20"/>
        </w:rPr>
      </w:pPr>
    </w:p>
    <w:p w:rsidR="00AA0A2C" w:rsidRPr="00AA0A2C" w:rsidRDefault="00AA0A2C" w:rsidP="00186175">
      <w:pPr>
        <w:pStyle w:val="Ttulo4"/>
      </w:pPr>
      <w:bookmarkStart w:id="95" w:name="_Toc357176548"/>
      <w:r w:rsidRPr="00AA0A2C">
        <w:t>Medio Biótico</w:t>
      </w:r>
      <w:bookmarkEnd w:id="95"/>
    </w:p>
    <w:p w:rsidR="00AA0A2C" w:rsidRPr="00AA0A2C" w:rsidRDefault="00AA0A2C" w:rsidP="00AA0A2C">
      <w:pPr>
        <w:rPr>
          <w:rFonts w:asciiTheme="majorHAnsi" w:hAnsiTheme="majorHAnsi" w:cs="Arial"/>
          <w:b/>
        </w:rPr>
      </w:pPr>
    </w:p>
    <w:p w:rsidR="00AA0A2C" w:rsidRDefault="00186175" w:rsidP="00186175">
      <w:pPr>
        <w:pStyle w:val="Ttulo5"/>
        <w:rPr>
          <w:rFonts w:asciiTheme="majorHAnsi" w:hAnsiTheme="majorHAnsi" w:cs="Arial"/>
          <w:b/>
        </w:rPr>
      </w:pPr>
      <w:r w:rsidRPr="00186175">
        <w:t xml:space="preserve">Valoración de impactos sobre el </w:t>
      </w:r>
      <w:r w:rsidRPr="00186175">
        <w:rPr>
          <w:rStyle w:val="Ttulo4Car"/>
          <w:u w:val="none"/>
        </w:rPr>
        <w:t xml:space="preserve">recurso </w:t>
      </w:r>
      <w:r w:rsidR="00AA0A2C" w:rsidRPr="00186175">
        <w:rPr>
          <w:rStyle w:val="Ttulo4Car"/>
          <w:u w:val="none"/>
        </w:rPr>
        <w:t>Flora</w:t>
      </w:r>
      <w:r w:rsidR="00AA0A2C" w:rsidRPr="00186175">
        <w:rPr>
          <w:rFonts w:asciiTheme="majorHAnsi" w:hAnsiTheme="majorHAnsi" w:cs="Arial"/>
          <w:b/>
        </w:rPr>
        <w:t xml:space="preserve"> </w:t>
      </w:r>
    </w:p>
    <w:p w:rsidR="0074463C" w:rsidRPr="0074463C" w:rsidRDefault="0074463C" w:rsidP="0074463C"/>
    <w:p w:rsidR="0074463C" w:rsidRPr="00757DC5" w:rsidRDefault="0074463C" w:rsidP="0074463C">
      <w:pPr>
        <w:rPr>
          <w:b/>
        </w:rPr>
      </w:pPr>
      <w:r w:rsidRPr="0074463C">
        <w:rPr>
          <w:rFonts w:asciiTheme="majorHAnsi" w:hAnsiTheme="majorHAnsi" w:cs="Arial"/>
          <w:b/>
          <w:i/>
        </w:rPr>
        <w:t xml:space="preserve">Alteración </w:t>
      </w:r>
      <w:r>
        <w:rPr>
          <w:rFonts w:asciiTheme="majorHAnsi" w:hAnsiTheme="majorHAnsi" w:cs="Arial"/>
          <w:b/>
          <w:i/>
        </w:rPr>
        <w:t>del Recurso Boscoso</w:t>
      </w:r>
    </w:p>
    <w:p w:rsidR="0074463C" w:rsidRPr="00757DC5" w:rsidRDefault="0074463C" w:rsidP="0074463C">
      <w:pPr>
        <w:rPr>
          <w:i/>
          <w:u w:val="single"/>
        </w:rPr>
      </w:pPr>
    </w:p>
    <w:p w:rsidR="0074463C" w:rsidRPr="00757DC5" w:rsidRDefault="0074463C" w:rsidP="0074463C">
      <w:pPr>
        <w:rPr>
          <w:lang w:val="es-ES"/>
        </w:rPr>
      </w:pPr>
      <w:r w:rsidRPr="00757DC5">
        <w:rPr>
          <w:lang w:val="es-ES"/>
        </w:rPr>
        <w:t xml:space="preserve">El valor del impacto no internalizable sobre el </w:t>
      </w:r>
      <w:r>
        <w:rPr>
          <w:lang w:val="es-ES"/>
        </w:rPr>
        <w:t>recurso flora</w:t>
      </w:r>
      <w:r w:rsidRPr="00757DC5">
        <w:rPr>
          <w:lang w:val="es-ES"/>
        </w:rPr>
        <w:t xml:space="preserve">, se realizará a partir de los efectos que generará la </w:t>
      </w:r>
      <w:r w:rsidRPr="00AA0A2C">
        <w:rPr>
          <w:rFonts w:asciiTheme="majorHAnsi" w:hAnsiTheme="majorHAnsi"/>
        </w:rPr>
        <w:t>Construcción de la Variante Puerto Berrío en los Departamentos de Antioquia y Santander</w:t>
      </w:r>
      <w:r>
        <w:t>,</w:t>
      </w:r>
      <w:r w:rsidRPr="00757DC5">
        <w:rPr>
          <w:lang w:val="es-ES"/>
        </w:rPr>
        <w:t xml:space="preserve"> sobre las </w:t>
      </w:r>
      <w:r>
        <w:rPr>
          <w:lang w:val="es-ES"/>
        </w:rPr>
        <w:t xml:space="preserve">coberturas de Bosque Abierto, Bosque de Galería o Ripario y Vegetación Secundaria, </w:t>
      </w:r>
      <w:r w:rsidRPr="00757DC5">
        <w:rPr>
          <w:lang w:val="es-ES"/>
        </w:rPr>
        <w:t xml:space="preserve">las cuales en últimas determinan el valor de los servicios que presta </w:t>
      </w:r>
      <w:r>
        <w:rPr>
          <w:lang w:val="es-ES"/>
        </w:rPr>
        <w:t>el bosque</w:t>
      </w:r>
      <w:r w:rsidRPr="00757DC5">
        <w:rPr>
          <w:lang w:val="es-ES"/>
        </w:rPr>
        <w:t xml:space="preserve">. </w:t>
      </w:r>
    </w:p>
    <w:p w:rsidR="0074463C" w:rsidRPr="00757DC5" w:rsidRDefault="0074463C" w:rsidP="0074463C">
      <w:pPr>
        <w:rPr>
          <w:lang w:val="es-ES"/>
        </w:rPr>
      </w:pPr>
    </w:p>
    <w:p w:rsidR="0074463C" w:rsidRPr="00757DC5" w:rsidRDefault="0074463C" w:rsidP="0074463C">
      <w:r w:rsidRPr="00757DC5">
        <w:rPr>
          <w:lang w:val="es-ES"/>
        </w:rPr>
        <w:t xml:space="preserve">Para la valoración de este impacto se hará uso de la metodología de transferencia de beneficios por valor en uso de servicio de recreación pasiva en contemplación a través de la relación paisaje y cobertura predominante, </w:t>
      </w:r>
      <w:r w:rsidRPr="00757DC5">
        <w:t xml:space="preserve">y para tal efecto, se toma como valor de transferencia obtenido para este tipo de paisaje dentro de  la evaluación económica  de los impactos ambientales y Análisis Costo Beneficio Ambiental  que hizo parte del </w:t>
      </w:r>
      <w:r w:rsidRPr="00757DC5">
        <w:rPr>
          <w:lang w:val="es-ES_tradnl"/>
        </w:rPr>
        <w:t xml:space="preserve">Estudio de Impacto Ambiental </w:t>
      </w:r>
      <w:r w:rsidRPr="00757DC5">
        <w:t>para el Área de Exploración de Hidrocarburos – APE CPO- 9  localizado en jurisdicción de los municipios de Cubarral, Guamal, Castilla La Nueva, Acacías y San Martín  Departamento del Meta.  Talisman – ECOPETROL, S.A. junio de 2011.</w:t>
      </w:r>
    </w:p>
    <w:p w:rsidR="0074463C" w:rsidRPr="00757DC5" w:rsidRDefault="0074463C" w:rsidP="0074463C">
      <w:pPr>
        <w:rPr>
          <w:lang w:val="es-ES_tradnl"/>
        </w:rPr>
      </w:pPr>
    </w:p>
    <w:p w:rsidR="0074463C" w:rsidRPr="00757DC5" w:rsidRDefault="0074463C" w:rsidP="0074463C">
      <w:r w:rsidRPr="00757DC5">
        <w:rPr>
          <w:lang w:val="es-ES_tradnl"/>
        </w:rPr>
        <w:t>El valor de este tipo de paisaje se obtuvo mediante la aplicación del método de Análisis C</w:t>
      </w:r>
      <w:r w:rsidRPr="00757DC5">
        <w:t>onjoint bajo el enfoque de calificación de opciones (Conjoint Rating)</w:t>
      </w:r>
      <w:r w:rsidRPr="00757DC5">
        <w:rPr>
          <w:vertAlign w:val="superscript"/>
        </w:rPr>
        <w:footnoteReference w:id="8"/>
      </w:r>
      <w:r w:rsidRPr="00757DC5">
        <w:t>. En el estudio de referencia, la información requerida para el AC se obtuvo de la aplicación de una encuesta aplicada a una muestra representativa de 300 habitantes de los municipios que tienen jurisdicción dentro del área de influencia directa del proyecto en el Departamento del Meta.</w:t>
      </w:r>
    </w:p>
    <w:p w:rsidR="0074463C" w:rsidRPr="00757DC5" w:rsidRDefault="0074463C" w:rsidP="0074463C"/>
    <w:p w:rsidR="0074463C" w:rsidRDefault="0074463C" w:rsidP="0074463C">
      <w:r w:rsidRPr="00757DC5">
        <w:t xml:space="preserve">La escala de calificación del escenario varió de uno (1) nada preferido a diez (10) muy preferido, generando de esta forma la variable dependiente del modelo de selección discreta, que tomó el valor de 1 si el escenario fue altamente preferido (valor 10) y 0 si tuvo una calificación diferente. </w:t>
      </w:r>
    </w:p>
    <w:p w:rsidR="0074463C" w:rsidRPr="00757DC5" w:rsidRDefault="0074463C" w:rsidP="0074463C"/>
    <w:p w:rsidR="0074463C" w:rsidRPr="00757DC5" w:rsidRDefault="0074463C" w:rsidP="0074463C">
      <w:r w:rsidRPr="00757DC5">
        <w:t>El modelo especificado para el escenario correspondió a un modelo logit binomial cuya variable dependiente es la probabilidad de preferir el escenario de bosque de galería y ripario y las variables independientes corresponde a precio y variables socioeconómicas del entrevistado.</w:t>
      </w:r>
    </w:p>
    <w:p w:rsidR="0074463C" w:rsidRPr="00757DC5" w:rsidRDefault="0074463C" w:rsidP="0074463C"/>
    <w:p w:rsidR="0074463C" w:rsidRPr="00757DC5" w:rsidRDefault="0074463C" w:rsidP="0074463C">
      <w:r w:rsidRPr="00757DC5">
        <w:t>Entonces, a partir de las variables y el método de estimación anteriormente descrito, la utilidad indirecta de un individuo por cada uno de los escenarios puede ser obtenida a partir de la siguiente especificación:</w:t>
      </w:r>
    </w:p>
    <w:p w:rsidR="0074463C" w:rsidRPr="00757DC5" w:rsidRDefault="0074463C" w:rsidP="0074463C"/>
    <w:p w:rsidR="0074463C" w:rsidRPr="00757DC5" w:rsidRDefault="0074463C" w:rsidP="0074463C">
      <m:oMathPara>
        <m:oMath>
          <m:sSup>
            <m:sSupPr>
              <m:ctrlPr>
                <w:rPr>
                  <w:rFonts w:ascii="Cambria Math" w:hAnsi="Cambria Math"/>
                </w:rPr>
              </m:ctrlPr>
            </m:sSupPr>
            <m:e>
              <m:r>
                <m:rPr>
                  <m:sty m:val="p"/>
                </m:rPr>
                <w:rPr>
                  <w:rFonts w:ascii="Cambria Math" w:hAnsi="Cambria Math"/>
                </w:rPr>
                <m:t>v</m:t>
              </m:r>
            </m:e>
            <m:sup>
              <m:r>
                <m:rPr>
                  <m:sty m:val="p"/>
                </m:rPr>
                <w:rPr>
                  <w:rFonts w:ascii="Cambria Math" w:hAnsi="Cambria Math"/>
                </w:rPr>
                <m:t>ij</m:t>
              </m:r>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m:rPr>
                      <m:sty m:val="p"/>
                    </m:rPr>
                    <w:rPr>
                      <w:rFonts w:ascii="Cambria Math" w:hAnsi="Cambria Math"/>
                    </w:rPr>
                    <m:t>1+</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sSub>
                            <m:sSubPr>
                              <m:ctrlPr>
                                <w:rPr>
                                  <w:rFonts w:ascii="Cambria Math" w:hAnsi="Cambria Math"/>
                                </w:rPr>
                              </m:ctrlPr>
                            </m:sSubPr>
                            <m:e>
                              <m:r>
                                <m:rPr>
                                  <m:sty m:val="p"/>
                                </m:rPr>
                                <w:rPr>
                                  <w:rFonts w:ascii="Cambria Math" w:hAnsi="Cambria Math"/>
                                </w:rPr>
                                <m:t>β</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precio</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ingresos</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edad</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genero</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4</m:t>
                              </m:r>
                            </m:sub>
                          </m:sSub>
                          <m:sSub>
                            <m:sSubPr>
                              <m:ctrlPr>
                                <w:rPr>
                                  <w:rFonts w:ascii="Cambria Math" w:hAnsi="Cambria Math"/>
                                </w:rPr>
                              </m:ctrlPr>
                            </m:sSubPr>
                            <m:e>
                              <m:r>
                                <m:rPr>
                                  <m:sty m:val="p"/>
                                </m:rPr>
                                <w:rPr>
                                  <w:rFonts w:ascii="Cambria Math" w:hAnsi="Cambria Math"/>
                                </w:rPr>
                                <m:t>npershog</m:t>
                              </m:r>
                            </m:e>
                            <m:sub>
                              <m:r>
                                <m:rPr>
                                  <m:sty m:val="p"/>
                                </m:rPr>
                                <w:rPr>
                                  <w:rFonts w:ascii="Cambria Math" w:hAnsi="Cambria Math"/>
                                </w:rPr>
                                <m:t>i</m:t>
                              </m:r>
                            </m:sub>
                          </m:sSub>
                        </m:e>
                      </m:d>
                    </m:sup>
                  </m:sSup>
                </m:e>
              </m:d>
            </m:den>
          </m:f>
        </m:oMath>
      </m:oMathPara>
    </w:p>
    <w:p w:rsidR="0074463C" w:rsidRPr="00757DC5" w:rsidRDefault="0074463C" w:rsidP="0074463C"/>
    <w:p w:rsidR="0074463C" w:rsidRDefault="0074463C" w:rsidP="0074463C">
      <w:r w:rsidRPr="00757DC5">
        <w:t>Donde,</w:t>
      </w:r>
    </w:p>
    <w:p w:rsidR="0074463C" w:rsidRDefault="0074463C" w:rsidP="0074463C">
      <w:r>
        <w:t>v</w:t>
      </w:r>
      <w:r>
        <w:rPr>
          <w:vertAlign w:val="superscript"/>
        </w:rPr>
        <w:t>ij</w:t>
      </w:r>
      <w:r>
        <w:t xml:space="preserve">: </w:t>
      </w:r>
      <w:r w:rsidRPr="00757DC5">
        <w:t>Es la utilidad indirecta o preferencia</w:t>
      </w:r>
      <w:r>
        <w:t xml:space="preserve"> del individuo por el escenario</w:t>
      </w:r>
    </w:p>
    <w:p w:rsidR="0074463C" w:rsidRDefault="0074463C" w:rsidP="0074463C">
      <w:r w:rsidRPr="00996129">
        <w:t>precio</w:t>
      </w:r>
      <w:r w:rsidRPr="00996129">
        <w:rPr>
          <w:vertAlign w:val="subscript"/>
        </w:rPr>
        <w:t>j</w:t>
      </w:r>
      <w:r>
        <w:t xml:space="preserve">: </w:t>
      </w:r>
      <w:r w:rsidRPr="00996129">
        <w:t>Es</w:t>
      </w:r>
      <w:r w:rsidRPr="00757DC5">
        <w:t xml:space="preserve"> el pr</w:t>
      </w:r>
      <w:r>
        <w:t>ecio definido para el escenario</w:t>
      </w:r>
    </w:p>
    <w:p w:rsidR="0074463C" w:rsidRDefault="0074463C" w:rsidP="0074463C">
      <w:r>
        <w:t>ingresos</w:t>
      </w:r>
      <w:r>
        <w:rPr>
          <w:vertAlign w:val="subscript"/>
        </w:rPr>
        <w:t>i</w:t>
      </w:r>
      <w:r>
        <w:t>:</w:t>
      </w:r>
      <w:r w:rsidRPr="00757DC5">
        <w:t xml:space="preserve"> Es e</w:t>
      </w:r>
      <w:r>
        <w:t>l ingreso mensual del individuo</w:t>
      </w:r>
    </w:p>
    <w:p w:rsidR="0074463C" w:rsidRDefault="0074463C" w:rsidP="0074463C">
      <w:r>
        <w:t>edad</w:t>
      </w:r>
      <w:r>
        <w:rPr>
          <w:vertAlign w:val="subscript"/>
        </w:rPr>
        <w:t>i</w:t>
      </w:r>
      <w:r>
        <w:t>: Es la edad del individuo</w:t>
      </w:r>
    </w:p>
    <w:p w:rsidR="0074463C" w:rsidRDefault="0074463C" w:rsidP="0074463C">
      <w:r>
        <w:t>genero</w:t>
      </w:r>
      <w:r>
        <w:rPr>
          <w:vertAlign w:val="subscript"/>
        </w:rPr>
        <w:t>i</w:t>
      </w:r>
      <w:r>
        <w:t>:</w:t>
      </w:r>
      <w:r w:rsidRPr="00757DC5">
        <w:t xml:space="preserve"> Es el género del individuo</w:t>
      </w:r>
    </w:p>
    <w:p w:rsidR="0074463C" w:rsidRPr="00757DC5" w:rsidRDefault="0074463C" w:rsidP="0074463C">
      <w:r>
        <w:t>npershog</w:t>
      </w:r>
      <w:r>
        <w:rPr>
          <w:vertAlign w:val="subscript"/>
        </w:rPr>
        <w:t>i</w:t>
      </w:r>
      <w:r>
        <w:t>:</w:t>
      </w:r>
      <w:r w:rsidRPr="00757DC5">
        <w:t xml:space="preserve"> Es el número de personas que conforman el hogar del individuo.</w:t>
      </w:r>
    </w:p>
    <w:p w:rsidR="0074463C" w:rsidRPr="00757DC5" w:rsidRDefault="0074463C" w:rsidP="0074463C"/>
    <w:p w:rsidR="0074463C" w:rsidRPr="00757DC5" w:rsidRDefault="0074463C" w:rsidP="0074463C">
      <w:pPr>
        <w:rPr>
          <w:lang w:val="es-ES_tradnl"/>
        </w:rPr>
      </w:pPr>
      <w:r w:rsidRPr="00757DC5">
        <w:t>La información obtenida a través de la encuesta sirvió de insumo para la estimación del modelo econométrico utilizando el programa STATA 12.0 y cuyo resultado se presenta a continuación</w:t>
      </w:r>
      <w:r w:rsidRPr="00757DC5">
        <w:rPr>
          <w:lang w:val="es-ES_tradnl"/>
        </w:rPr>
        <w:t>:</w:t>
      </w:r>
    </w:p>
    <w:p w:rsidR="0074463C" w:rsidRPr="00757DC5" w:rsidRDefault="0074463C" w:rsidP="0074463C"/>
    <w:p w:rsidR="0074463C" w:rsidRPr="00757DC5" w:rsidRDefault="0074463C" w:rsidP="0074463C">
      <w:pPr>
        <w:jc w:val="center"/>
      </w:pPr>
      <w:r w:rsidRPr="00757DC5">
        <w:rPr>
          <w:noProof/>
          <w:lang w:eastAsia="es-CO"/>
        </w:rPr>
        <w:drawing>
          <wp:inline distT="0" distB="0" distL="0" distR="0" wp14:anchorId="0EAFADF5" wp14:editId="04B159AA">
            <wp:extent cx="4752975" cy="172641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2722"/>
                    <a:stretch/>
                  </pic:blipFill>
                  <pic:spPr bwMode="auto">
                    <a:xfrm>
                      <a:off x="0" y="0"/>
                      <a:ext cx="4760655" cy="1729203"/>
                    </a:xfrm>
                    <a:prstGeom prst="rect">
                      <a:avLst/>
                    </a:prstGeom>
                    <a:noFill/>
                    <a:ln>
                      <a:noFill/>
                    </a:ln>
                    <a:extLst>
                      <a:ext uri="{53640926-AAD7-44D8-BBD7-CCE9431645EC}">
                        <a14:shadowObscured xmlns:a14="http://schemas.microsoft.com/office/drawing/2010/main"/>
                      </a:ext>
                    </a:extLst>
                  </pic:spPr>
                </pic:pic>
              </a:graphicData>
            </a:graphic>
          </wp:inline>
        </w:drawing>
      </w:r>
    </w:p>
    <w:p w:rsidR="0074463C" w:rsidRPr="00757DC5" w:rsidRDefault="0074463C" w:rsidP="0074463C"/>
    <w:p w:rsidR="0074463C" w:rsidRPr="00757DC5" w:rsidRDefault="0074463C" w:rsidP="0074463C">
      <w:r w:rsidRPr="00757DC5">
        <w:t xml:space="preserve">El paisaje de </w:t>
      </w:r>
      <w:r w:rsidR="00CB0E9F">
        <w:t>Bosque</w:t>
      </w:r>
      <w:r w:rsidRPr="00757DC5">
        <w:t xml:space="preserve">, en cuanto a las variables “precio” e “ingresos”, los signos de los coeficientes muestran una relación inversa y directamente respectivamente lo cual se interpreta </w:t>
      </w:r>
      <w:r w:rsidR="00CB0E9F" w:rsidRPr="00757DC5">
        <w:t>que,</w:t>
      </w:r>
      <w:r w:rsidRPr="00757DC5">
        <w:t xml:space="preserve"> manteniendo las demás variables constantes, un mayor precio del paisaje de </w:t>
      </w:r>
      <w:r w:rsidR="00CB0E9F">
        <w:t>bosque</w:t>
      </w:r>
      <w:r w:rsidRPr="00757DC5">
        <w:t xml:space="preserve"> disminuye la utilidad indirecta de los individuos, mientras que, mayores ingresos aumentan la utilidad que le reporta este tipo de paisaje.</w:t>
      </w:r>
    </w:p>
    <w:p w:rsidR="0074463C" w:rsidRPr="00757DC5" w:rsidRDefault="0074463C" w:rsidP="0074463C"/>
    <w:p w:rsidR="0074463C" w:rsidRDefault="0074463C" w:rsidP="0074463C">
      <w:r w:rsidRPr="00757DC5">
        <w:t>Con respecto a la variable “edad” se obtiene signo positivo, es decir, que entre más edad tenga el individuo encuestado mayor es la utilidad que le reporta el paisaje de valle. El signo de las variables “n personas” y “género”, indica respectivamente que entre mayor sea el número de personas que forman el hogar menor es la utilidad indirecta y a los hombres les reporta una menor utilidad este tipo de paisajes en comparación con las mujeres.</w:t>
      </w:r>
    </w:p>
    <w:p w:rsidR="0074463C" w:rsidRPr="00757DC5" w:rsidRDefault="0074463C" w:rsidP="0074463C"/>
    <w:p w:rsidR="00CB0E9F" w:rsidRDefault="0074463C" w:rsidP="0074463C">
      <w:r w:rsidRPr="00757DC5">
        <w:t>De acuerdo con el estudio los resultados del modelo fueron consistentes con la teoría económica y se consideró un modelo válido para el cálculo de la variación compensatoria el cual puede interpretarse como el valor económico del paisaje en su estado de línea base o la disponibilidad a por mantener el estado actual o estatus quo del escenario.</w:t>
      </w:r>
    </w:p>
    <w:p w:rsidR="00CB0E9F" w:rsidRDefault="00CB0E9F" w:rsidP="0074463C"/>
    <w:p w:rsidR="0074463C" w:rsidRPr="00757DC5" w:rsidRDefault="0074463C" w:rsidP="0074463C">
      <w:r w:rsidRPr="00757DC5">
        <w:t xml:space="preserve">El valor de variación compensatoria del paisaje de </w:t>
      </w:r>
      <w:r w:rsidR="00CB0E9F">
        <w:t>Bosque Ripario</w:t>
      </w:r>
      <w:r>
        <w:t xml:space="preserve"> fue de </w:t>
      </w:r>
      <w:r w:rsidRPr="00757DC5">
        <w:t xml:space="preserve">$ </w:t>
      </w:r>
      <w:r w:rsidR="00CB0E9F">
        <w:t>1.938.329</w:t>
      </w:r>
      <w:r>
        <w:t>/ha</w:t>
      </w:r>
      <w:r w:rsidR="00CB0E9F">
        <w:t xml:space="preserve"> que será el valor de referencia para el bosque de Galería y Ripario y el Bosque Abierto </w:t>
      </w:r>
      <w:r>
        <w:t xml:space="preserve">y la de </w:t>
      </w:r>
      <w:r w:rsidR="00CB0E9F">
        <w:t>Bosque Intervenido</w:t>
      </w:r>
      <w:r>
        <w:t xml:space="preserve"> fue de </w:t>
      </w:r>
      <w:r w:rsidRPr="00757DC5">
        <w:t xml:space="preserve">$ </w:t>
      </w:r>
      <w:r w:rsidR="00CB0E9F">
        <w:t>72.300</w:t>
      </w:r>
      <w:r w:rsidRPr="00757DC5">
        <w:t xml:space="preserve"> </w:t>
      </w:r>
      <w:r>
        <w:t xml:space="preserve">/ha, </w:t>
      </w:r>
      <w:r w:rsidR="00CB0E9F">
        <w:t>el que será el valor de referencia para Vegetación Secundaria</w:t>
      </w:r>
      <w:r w:rsidRPr="00757DC5">
        <w:t xml:space="preserve">. </w:t>
      </w:r>
    </w:p>
    <w:p w:rsidR="0074463C" w:rsidRPr="00757DC5" w:rsidRDefault="0074463C" w:rsidP="0074463C"/>
    <w:p w:rsidR="0074463C" w:rsidRPr="00757DC5" w:rsidRDefault="0074463C" w:rsidP="0074463C">
      <w:r>
        <w:t>E</w:t>
      </w:r>
      <w:r w:rsidRPr="00757DC5">
        <w:t>ste valor se ajusta con la IPC del 201</w:t>
      </w:r>
      <w:r>
        <w:t>1</w:t>
      </w:r>
      <w:r w:rsidRPr="00757DC5">
        <w:t xml:space="preserve"> a</w:t>
      </w:r>
      <w:r>
        <w:t xml:space="preserve"> </w:t>
      </w:r>
      <w:r w:rsidR="00CB0E9F">
        <w:t>diciembre</w:t>
      </w:r>
      <w:r>
        <w:t xml:space="preserve"> de 2015</w:t>
      </w:r>
      <w:r w:rsidRPr="00757DC5">
        <w:t xml:space="preserve"> para lograr una variación compensatoria</w:t>
      </w:r>
      <w:r>
        <w:t xml:space="preserve">, </w:t>
      </w:r>
      <w:r w:rsidRPr="00757DC5">
        <w:t xml:space="preserve">este valor multiplicado por el número de hectáreas afectadas de este </w:t>
      </w:r>
      <w:r w:rsidR="00CB0E9F">
        <w:t xml:space="preserve">tipo de cobertura </w:t>
      </w:r>
      <w:r w:rsidRPr="00757DC5">
        <w:t xml:space="preserve">representa el valor del impacto por  cambio en la </w:t>
      </w:r>
      <w:r w:rsidR="00CB0E9F">
        <w:t>existencia del recurso boscoso</w:t>
      </w:r>
      <w:r w:rsidRPr="00757DC5">
        <w:t>.</w:t>
      </w:r>
    </w:p>
    <w:p w:rsidR="0074463C" w:rsidRPr="00757DC5" w:rsidRDefault="0074463C" w:rsidP="0074463C"/>
    <w:p w:rsidR="0074463C" w:rsidRPr="00757DC5" w:rsidRDefault="0074463C" w:rsidP="0074463C">
      <w:pPr>
        <w:rPr>
          <w:lang w:val="es-ES"/>
        </w:rPr>
      </w:pPr>
      <w:r w:rsidRPr="00757DC5">
        <w:rPr>
          <w:lang w:val="es-ES"/>
        </w:rPr>
        <w:t>Dado que los valores transferidos corresponden a valores por hectárea la extrapolación a las áreas afectadas se realizará a partir de la aplicación de la siguiente ecuación:</w:t>
      </w:r>
    </w:p>
    <w:p w:rsidR="0074463C" w:rsidRPr="00757DC5" w:rsidRDefault="0074463C" w:rsidP="0074463C">
      <w:pPr>
        <w:rPr>
          <w:lang w:val="es-ES"/>
        </w:rPr>
      </w:pPr>
    </w:p>
    <w:tbl>
      <w:tblPr>
        <w:tblW w:w="7407" w:type="dxa"/>
        <w:jc w:val="center"/>
        <w:tblLook w:val="04A0" w:firstRow="1" w:lastRow="0" w:firstColumn="1" w:lastColumn="0" w:noHBand="0" w:noVBand="1"/>
      </w:tblPr>
      <w:tblGrid>
        <w:gridCol w:w="7407"/>
      </w:tblGrid>
      <w:tr w:rsidR="0074463C" w:rsidRPr="00757DC5" w:rsidTr="0074463C">
        <w:trPr>
          <w:trHeight w:val="300"/>
          <w:jc w:val="center"/>
        </w:trPr>
        <w:tc>
          <w:tcPr>
            <w:tcW w:w="7407" w:type="dxa"/>
            <w:shd w:val="clear" w:color="auto" w:fill="auto"/>
            <w:noWrap/>
            <w:vAlign w:val="center"/>
            <w:hideMark/>
          </w:tcPr>
          <w:p w:rsidR="0074463C" w:rsidRPr="00757DC5" w:rsidRDefault="0074463C" w:rsidP="0074463C">
            <w:pPr>
              <w:jc w:val="center"/>
            </w:pPr>
            <w:r w:rsidRPr="00757DC5">
              <w:t>VEPaisaje=  S * Ppj</w:t>
            </w:r>
          </w:p>
        </w:tc>
      </w:tr>
    </w:tbl>
    <w:p w:rsidR="0074463C" w:rsidRDefault="0074463C" w:rsidP="0074463C"/>
    <w:p w:rsidR="0074463C" w:rsidRDefault="0074463C" w:rsidP="0074463C">
      <w:r>
        <w:t>Dónde:</w:t>
      </w:r>
    </w:p>
    <w:p w:rsidR="0074463C" w:rsidRDefault="0074463C" w:rsidP="0074463C">
      <w:r>
        <w:t>VE</w:t>
      </w:r>
      <w:r w:rsidR="00CB0E9F">
        <w:t>Bosque</w:t>
      </w:r>
      <w:r>
        <w:t xml:space="preserve"> = valor económico total de </w:t>
      </w:r>
      <w:r w:rsidR="00CB0E9F">
        <w:t>bosque</w:t>
      </w:r>
    </w:p>
    <w:p w:rsidR="0074463C" w:rsidRDefault="0074463C" w:rsidP="0074463C">
      <w:r>
        <w:t xml:space="preserve">S = </w:t>
      </w:r>
      <w:r w:rsidR="00CB0E9F">
        <w:t>Superficie afectada</w:t>
      </w:r>
      <w:r>
        <w:t xml:space="preserve"> por la </w:t>
      </w:r>
      <w:r w:rsidR="00CB0E9F" w:rsidRPr="00AA0A2C">
        <w:rPr>
          <w:rFonts w:asciiTheme="majorHAnsi" w:hAnsiTheme="majorHAnsi"/>
        </w:rPr>
        <w:t>Construcción de la Variante Puerto Berrío en los Departamentos de Antioquia y Santander</w:t>
      </w:r>
      <w:r w:rsidR="00CB0E9F">
        <w:t xml:space="preserve"> </w:t>
      </w:r>
      <w:r>
        <w:t>(Ha)</w:t>
      </w:r>
    </w:p>
    <w:p w:rsidR="0074463C" w:rsidRDefault="0074463C" w:rsidP="0074463C">
      <w:r>
        <w:t xml:space="preserve">Ppj = precio de una Hectárea de </w:t>
      </w:r>
      <w:r w:rsidR="00CB0E9F">
        <w:t>bosque</w:t>
      </w:r>
      <w:r>
        <w:t xml:space="preserve"> ($/Ha)</w:t>
      </w:r>
    </w:p>
    <w:p w:rsidR="0074463C" w:rsidRPr="00757DC5" w:rsidRDefault="0074463C" w:rsidP="0074463C"/>
    <w:p w:rsidR="0074463C" w:rsidRPr="00757DC5" w:rsidRDefault="00CB0E9F" w:rsidP="0074463C">
      <w:r>
        <w:t>El</w:t>
      </w:r>
      <w:r w:rsidR="0074463C" w:rsidRPr="00757DC5">
        <w:t xml:space="preserve"> monto </w:t>
      </w:r>
      <w:r w:rsidR="0074463C" w:rsidRPr="00CB0E9F">
        <w:t>total</w:t>
      </w:r>
      <w:r w:rsidRPr="00CB0E9F">
        <w:t xml:space="preserve"> por la afectación del recurso boscoso por la ejecución del proyecto alcanza un valor</w:t>
      </w:r>
      <w:r w:rsidR="0074463C" w:rsidRPr="00CB0E9F">
        <w:t xml:space="preserve"> de </w:t>
      </w:r>
      <w:r w:rsidR="0074463C" w:rsidRPr="00CB0E9F">
        <w:rPr>
          <w:b/>
        </w:rPr>
        <w:t>$</w:t>
      </w:r>
      <w:r w:rsidRPr="00CB0E9F">
        <w:rPr>
          <w:b/>
        </w:rPr>
        <w:t>6.441.824</w:t>
      </w:r>
      <w:r w:rsidR="0074463C" w:rsidRPr="00CB0E9F">
        <w:rPr>
          <w:b/>
        </w:rPr>
        <w:t xml:space="preserve">, </w:t>
      </w:r>
      <w:r w:rsidR="0074463C" w:rsidRPr="00CB0E9F">
        <w:t>como</w:t>
      </w:r>
      <w:r w:rsidR="0074463C" w:rsidRPr="00757DC5">
        <w:t xml:space="preserve"> se muestra a continuación.</w:t>
      </w:r>
    </w:p>
    <w:p w:rsidR="00CB0E9F" w:rsidRPr="00AA0A2C" w:rsidRDefault="00CB0E9F" w:rsidP="00CB0E9F">
      <w:pPr>
        <w:rPr>
          <w:rFonts w:asciiTheme="majorHAnsi" w:hAnsiTheme="majorHAnsi" w:cs="Arial"/>
          <w:b/>
        </w:rPr>
      </w:pPr>
    </w:p>
    <w:p w:rsidR="00CB0E9F" w:rsidRDefault="00CB0E9F" w:rsidP="00CB0E9F">
      <w:pPr>
        <w:pStyle w:val="Tablas"/>
        <w:rPr>
          <w:rFonts w:asciiTheme="majorHAnsi" w:hAnsiTheme="majorHAnsi"/>
        </w:rPr>
      </w:pPr>
      <w:r>
        <w:t xml:space="preserve">Tabla </w:t>
      </w:r>
      <w:r w:rsidR="006D0D6E">
        <w:fldChar w:fldCharType="begin"/>
      </w:r>
      <w:r w:rsidR="006D0D6E">
        <w:instrText xml:space="preserve"> STYLEREF 1 \s </w:instrText>
      </w:r>
      <w:r w:rsidR="006D0D6E">
        <w:fldChar w:fldCharType="separate"/>
      </w:r>
      <w:r w:rsidR="006D0D6E">
        <w:rPr>
          <w:noProof/>
        </w:rPr>
        <w:t>10</w:t>
      </w:r>
      <w:r w:rsidR="006D0D6E">
        <w:fldChar w:fldCharType="end"/>
      </w:r>
      <w:r w:rsidR="006D0D6E">
        <w:t>.</w:t>
      </w:r>
      <w:r w:rsidR="006D0D6E">
        <w:fldChar w:fldCharType="begin"/>
      </w:r>
      <w:r w:rsidR="006D0D6E">
        <w:instrText xml:space="preserve"> SEQ Tabla \* ARABIC \s 1 </w:instrText>
      </w:r>
      <w:r w:rsidR="006D0D6E">
        <w:fldChar w:fldCharType="separate"/>
      </w:r>
      <w:r w:rsidR="006D0D6E">
        <w:rPr>
          <w:noProof/>
        </w:rPr>
        <w:t>10</w:t>
      </w:r>
      <w:r w:rsidR="006D0D6E">
        <w:fldChar w:fldCharType="end"/>
      </w:r>
      <w:r>
        <w:t xml:space="preserve"> </w:t>
      </w:r>
      <w:r w:rsidRPr="00AA0A2C">
        <w:rPr>
          <w:rFonts w:asciiTheme="majorHAnsi" w:hAnsiTheme="majorHAnsi"/>
        </w:rPr>
        <w:t xml:space="preserve">Afectación </w:t>
      </w:r>
      <w:r>
        <w:rPr>
          <w:rFonts w:asciiTheme="majorHAnsi" w:hAnsiTheme="majorHAnsi"/>
        </w:rPr>
        <w:t>al recurso boscoso</w:t>
      </w:r>
    </w:p>
    <w:tbl>
      <w:tblPr>
        <w:tblStyle w:val="Gminis"/>
        <w:tblW w:w="5000" w:type="pct"/>
        <w:tblLook w:val="04A0" w:firstRow="1" w:lastRow="0" w:firstColumn="1" w:lastColumn="0" w:noHBand="0" w:noVBand="1"/>
      </w:tblPr>
      <w:tblGrid>
        <w:gridCol w:w="3687"/>
        <w:gridCol w:w="719"/>
        <w:gridCol w:w="1917"/>
        <w:gridCol w:w="1938"/>
      </w:tblGrid>
      <w:tr w:rsidR="00CB0E9F" w:rsidRPr="00CB0E9F" w:rsidTr="00CB0E9F">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gridSpan w:val="4"/>
            <w:tcBorders>
              <w:top w:val="none" w:sz="0" w:space="0" w:color="auto"/>
              <w:left w:val="none" w:sz="0" w:space="0" w:color="auto"/>
              <w:bottom w:val="none" w:sz="0" w:space="0" w:color="auto"/>
              <w:right w:val="none" w:sz="0" w:space="0" w:color="auto"/>
            </w:tcBorders>
            <w:noWrap/>
            <w:vAlign w:val="center"/>
            <w:hideMark/>
          </w:tcPr>
          <w:p w:rsidR="00CB0E9F" w:rsidRPr="00A243FB" w:rsidRDefault="00CB0E9F" w:rsidP="00CB0E9F">
            <w:pPr>
              <w:spacing w:line="240" w:lineRule="auto"/>
              <w:contextualSpacing w:val="0"/>
              <w:jc w:val="center"/>
              <w:rPr>
                <w:rFonts w:eastAsia="Times New Roman"/>
                <w:bCs/>
                <w:color w:val="000000"/>
                <w:sz w:val="18"/>
                <w:szCs w:val="18"/>
                <w:lang w:eastAsia="es-CO"/>
              </w:rPr>
            </w:pPr>
            <w:r w:rsidRPr="00A243FB">
              <w:rPr>
                <w:rFonts w:eastAsia="Times New Roman"/>
                <w:bCs/>
                <w:color w:val="000000"/>
                <w:sz w:val="18"/>
                <w:szCs w:val="18"/>
                <w:lang w:eastAsia="es-CO"/>
              </w:rPr>
              <w:t xml:space="preserve">  RECURSO BOSCOSO</w:t>
            </w:r>
          </w:p>
        </w:tc>
      </w:tr>
      <w:tr w:rsidR="00CB0E9F" w:rsidRPr="00CB0E9F" w:rsidTr="00CB0E9F">
        <w:trPr>
          <w:trHeight w:val="20"/>
        </w:trPr>
        <w:tc>
          <w:tcPr>
            <w:cnfStyle w:val="001000000000" w:firstRow="0" w:lastRow="0" w:firstColumn="1" w:lastColumn="0" w:oddVBand="0" w:evenVBand="0" w:oddHBand="0" w:evenHBand="0" w:firstRowFirstColumn="0" w:firstRowLastColumn="0" w:lastRowFirstColumn="0" w:lastRowLastColumn="0"/>
            <w:tcW w:w="2232" w:type="pct"/>
            <w:tcBorders>
              <w:left w:val="none" w:sz="0" w:space="0" w:color="auto"/>
            </w:tcBorders>
            <w:noWrap/>
            <w:vAlign w:val="center"/>
            <w:hideMark/>
          </w:tcPr>
          <w:p w:rsidR="00CB0E9F" w:rsidRPr="00CB0E9F" w:rsidRDefault="00CB0E9F" w:rsidP="00CB0E9F">
            <w:pPr>
              <w:spacing w:line="240" w:lineRule="auto"/>
              <w:contextualSpacing w:val="0"/>
              <w:jc w:val="center"/>
              <w:rPr>
                <w:rFonts w:eastAsia="Times New Roman"/>
                <w:b/>
                <w:bCs/>
                <w:color w:val="000000"/>
                <w:sz w:val="18"/>
                <w:szCs w:val="18"/>
                <w:lang w:eastAsia="es-CO"/>
              </w:rPr>
            </w:pPr>
            <w:r w:rsidRPr="00CB0E9F">
              <w:rPr>
                <w:rFonts w:eastAsia="Times New Roman"/>
                <w:b/>
                <w:bCs/>
                <w:color w:val="000000"/>
                <w:sz w:val="18"/>
                <w:szCs w:val="18"/>
                <w:lang w:eastAsia="es-CO"/>
              </w:rPr>
              <w:t>Cobertura</w:t>
            </w:r>
          </w:p>
        </w:tc>
        <w:tc>
          <w:tcPr>
            <w:tcW w:w="435" w:type="pct"/>
            <w:noWrap/>
            <w:vAlign w:val="center"/>
            <w:hideMark/>
          </w:tcPr>
          <w:p w:rsidR="00CB0E9F" w:rsidRPr="00CB0E9F" w:rsidRDefault="00CB0E9F" w:rsidP="00CB0E9F">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CB0E9F">
              <w:rPr>
                <w:rFonts w:eastAsia="Times New Roman"/>
                <w:b/>
                <w:bCs/>
                <w:color w:val="000000"/>
                <w:sz w:val="18"/>
                <w:szCs w:val="18"/>
                <w:lang w:eastAsia="es-CO"/>
              </w:rPr>
              <w:t>(Ha)*</w:t>
            </w:r>
          </w:p>
        </w:tc>
        <w:tc>
          <w:tcPr>
            <w:tcW w:w="1160" w:type="pct"/>
            <w:noWrap/>
            <w:vAlign w:val="center"/>
            <w:hideMark/>
          </w:tcPr>
          <w:p w:rsidR="00CB0E9F" w:rsidRPr="00CB0E9F" w:rsidRDefault="00CB0E9F" w:rsidP="00CB0E9F">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CB0E9F">
              <w:rPr>
                <w:rFonts w:eastAsia="Times New Roman"/>
                <w:b/>
                <w:bCs/>
                <w:color w:val="000000"/>
                <w:sz w:val="18"/>
                <w:szCs w:val="18"/>
                <w:lang w:eastAsia="es-CO"/>
              </w:rPr>
              <w:t>Valor por Ha**</w:t>
            </w:r>
          </w:p>
        </w:tc>
        <w:tc>
          <w:tcPr>
            <w:tcW w:w="1173" w:type="pct"/>
            <w:noWrap/>
            <w:vAlign w:val="center"/>
            <w:hideMark/>
          </w:tcPr>
          <w:p w:rsidR="00CB0E9F" w:rsidRPr="00CB0E9F" w:rsidRDefault="00CB0E9F" w:rsidP="00CB0E9F">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CB0E9F">
              <w:rPr>
                <w:rFonts w:eastAsia="Times New Roman"/>
                <w:b/>
                <w:bCs/>
                <w:color w:val="000000"/>
                <w:sz w:val="18"/>
                <w:szCs w:val="18"/>
                <w:lang w:eastAsia="es-CO"/>
              </w:rPr>
              <w:t>Valor Total</w:t>
            </w:r>
          </w:p>
        </w:tc>
      </w:tr>
      <w:tr w:rsidR="00CB0E9F" w:rsidRPr="00CB0E9F" w:rsidTr="00CB0E9F">
        <w:trPr>
          <w:trHeight w:val="20"/>
        </w:trPr>
        <w:tc>
          <w:tcPr>
            <w:cnfStyle w:val="001000000000" w:firstRow="0" w:lastRow="0" w:firstColumn="1" w:lastColumn="0" w:oddVBand="0" w:evenVBand="0" w:oddHBand="0" w:evenHBand="0" w:firstRowFirstColumn="0" w:firstRowLastColumn="0" w:lastRowFirstColumn="0" w:lastRowLastColumn="0"/>
            <w:tcW w:w="2232" w:type="pct"/>
            <w:tcBorders>
              <w:left w:val="none" w:sz="0" w:space="0" w:color="auto"/>
            </w:tcBorders>
            <w:vAlign w:val="center"/>
            <w:hideMark/>
          </w:tcPr>
          <w:p w:rsidR="00CB0E9F" w:rsidRPr="00CB0E9F" w:rsidRDefault="00CB0E9F" w:rsidP="00CB0E9F">
            <w:pPr>
              <w:spacing w:line="240" w:lineRule="auto"/>
              <w:contextualSpacing w:val="0"/>
              <w:jc w:val="center"/>
              <w:rPr>
                <w:rFonts w:eastAsia="Times New Roman"/>
                <w:sz w:val="18"/>
                <w:szCs w:val="18"/>
                <w:lang w:eastAsia="es-CO"/>
              </w:rPr>
            </w:pPr>
            <w:r w:rsidRPr="00CB0E9F">
              <w:rPr>
                <w:rFonts w:eastAsia="Times New Roman"/>
                <w:sz w:val="18"/>
                <w:szCs w:val="18"/>
                <w:lang w:eastAsia="es-CO"/>
              </w:rPr>
              <w:t>Bosque abierto</w:t>
            </w:r>
          </w:p>
        </w:tc>
        <w:tc>
          <w:tcPr>
            <w:tcW w:w="435" w:type="pct"/>
            <w:noWrap/>
            <w:vAlign w:val="center"/>
            <w:hideMark/>
          </w:tcPr>
          <w:p w:rsidR="00CB0E9F" w:rsidRPr="00CB0E9F" w:rsidRDefault="00CB0E9F" w:rsidP="00CB0E9F">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CB0E9F">
              <w:rPr>
                <w:rFonts w:eastAsia="Times New Roman"/>
                <w:sz w:val="18"/>
                <w:szCs w:val="18"/>
                <w:lang w:eastAsia="es-CO"/>
              </w:rPr>
              <w:t>0,70</w:t>
            </w:r>
          </w:p>
        </w:tc>
        <w:tc>
          <w:tcPr>
            <w:tcW w:w="1160" w:type="pct"/>
            <w:noWrap/>
            <w:vAlign w:val="center"/>
            <w:hideMark/>
          </w:tcPr>
          <w:p w:rsidR="00CB0E9F" w:rsidRPr="00CB0E9F" w:rsidRDefault="00CB0E9F" w:rsidP="00CB0E9F">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CB0E9F">
              <w:rPr>
                <w:rFonts w:eastAsia="Times New Roman"/>
                <w:color w:val="000000"/>
                <w:sz w:val="18"/>
                <w:szCs w:val="18"/>
                <w:lang w:eastAsia="es-CO"/>
              </w:rPr>
              <w:t xml:space="preserve">                 2.297.695 </w:t>
            </w:r>
          </w:p>
        </w:tc>
        <w:tc>
          <w:tcPr>
            <w:tcW w:w="1173" w:type="pct"/>
            <w:noWrap/>
            <w:vAlign w:val="center"/>
            <w:hideMark/>
          </w:tcPr>
          <w:p w:rsidR="00CB0E9F" w:rsidRPr="00CB0E9F" w:rsidRDefault="00CB0E9F" w:rsidP="00CB0E9F">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CB0E9F">
              <w:rPr>
                <w:rFonts w:eastAsia="Times New Roman"/>
                <w:color w:val="000000"/>
                <w:sz w:val="18"/>
                <w:szCs w:val="18"/>
                <w:lang w:eastAsia="es-CO"/>
              </w:rPr>
              <w:t xml:space="preserve">                 1.608.387 </w:t>
            </w:r>
          </w:p>
        </w:tc>
      </w:tr>
      <w:tr w:rsidR="00CB0E9F" w:rsidRPr="00CB0E9F" w:rsidTr="00CB0E9F">
        <w:trPr>
          <w:trHeight w:val="20"/>
        </w:trPr>
        <w:tc>
          <w:tcPr>
            <w:cnfStyle w:val="001000000000" w:firstRow="0" w:lastRow="0" w:firstColumn="1" w:lastColumn="0" w:oddVBand="0" w:evenVBand="0" w:oddHBand="0" w:evenHBand="0" w:firstRowFirstColumn="0" w:firstRowLastColumn="0" w:lastRowFirstColumn="0" w:lastRowLastColumn="0"/>
            <w:tcW w:w="2232" w:type="pct"/>
            <w:tcBorders>
              <w:left w:val="none" w:sz="0" w:space="0" w:color="auto"/>
            </w:tcBorders>
            <w:vAlign w:val="center"/>
            <w:hideMark/>
          </w:tcPr>
          <w:p w:rsidR="00CB0E9F" w:rsidRPr="00CB0E9F" w:rsidRDefault="00CB0E9F" w:rsidP="00CB0E9F">
            <w:pPr>
              <w:spacing w:line="240" w:lineRule="auto"/>
              <w:contextualSpacing w:val="0"/>
              <w:jc w:val="center"/>
              <w:rPr>
                <w:rFonts w:eastAsia="Times New Roman"/>
                <w:sz w:val="18"/>
                <w:szCs w:val="18"/>
                <w:lang w:eastAsia="es-CO"/>
              </w:rPr>
            </w:pPr>
            <w:r>
              <w:rPr>
                <w:rFonts w:eastAsia="Times New Roman"/>
                <w:sz w:val="18"/>
                <w:szCs w:val="18"/>
                <w:lang w:eastAsia="es-CO"/>
              </w:rPr>
              <w:t>Bosque de galería y/o R</w:t>
            </w:r>
            <w:r w:rsidRPr="00CB0E9F">
              <w:rPr>
                <w:rFonts w:eastAsia="Times New Roman"/>
                <w:sz w:val="18"/>
                <w:szCs w:val="18"/>
                <w:lang w:eastAsia="es-CO"/>
              </w:rPr>
              <w:t>ipario</w:t>
            </w:r>
          </w:p>
        </w:tc>
        <w:tc>
          <w:tcPr>
            <w:tcW w:w="435" w:type="pct"/>
            <w:noWrap/>
            <w:vAlign w:val="center"/>
            <w:hideMark/>
          </w:tcPr>
          <w:p w:rsidR="00CB0E9F" w:rsidRPr="00CB0E9F" w:rsidRDefault="00CB0E9F" w:rsidP="00CB0E9F">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CB0E9F">
              <w:rPr>
                <w:rFonts w:eastAsia="Times New Roman"/>
                <w:sz w:val="18"/>
                <w:szCs w:val="18"/>
                <w:lang w:eastAsia="es-CO"/>
              </w:rPr>
              <w:t>2,33</w:t>
            </w:r>
          </w:p>
        </w:tc>
        <w:tc>
          <w:tcPr>
            <w:tcW w:w="1160" w:type="pct"/>
            <w:noWrap/>
            <w:vAlign w:val="center"/>
            <w:hideMark/>
          </w:tcPr>
          <w:p w:rsidR="00CB0E9F" w:rsidRPr="00CB0E9F" w:rsidRDefault="00CB0E9F" w:rsidP="00CB0E9F">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CB0E9F">
              <w:rPr>
                <w:rFonts w:eastAsia="Times New Roman"/>
                <w:color w:val="000000"/>
                <w:sz w:val="18"/>
                <w:szCs w:val="18"/>
                <w:lang w:eastAsia="es-CO"/>
              </w:rPr>
              <w:t xml:space="preserve">                 2.297.695 </w:t>
            </w:r>
          </w:p>
        </w:tc>
        <w:tc>
          <w:tcPr>
            <w:tcW w:w="1173" w:type="pct"/>
            <w:noWrap/>
            <w:vAlign w:val="center"/>
            <w:hideMark/>
          </w:tcPr>
          <w:p w:rsidR="00CB0E9F" w:rsidRPr="00CB0E9F" w:rsidRDefault="00CB0E9F" w:rsidP="00CB0E9F">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CB0E9F">
              <w:rPr>
                <w:rFonts w:eastAsia="Times New Roman"/>
                <w:color w:val="000000"/>
                <w:sz w:val="18"/>
                <w:szCs w:val="18"/>
                <w:lang w:eastAsia="es-CO"/>
              </w:rPr>
              <w:t xml:space="preserve">                 5.353.629 </w:t>
            </w:r>
          </w:p>
        </w:tc>
      </w:tr>
      <w:tr w:rsidR="00CB0E9F" w:rsidRPr="00CB0E9F" w:rsidTr="00CB0E9F">
        <w:trPr>
          <w:trHeight w:val="20"/>
        </w:trPr>
        <w:tc>
          <w:tcPr>
            <w:cnfStyle w:val="001000000000" w:firstRow="0" w:lastRow="0" w:firstColumn="1" w:lastColumn="0" w:oddVBand="0" w:evenVBand="0" w:oddHBand="0" w:evenHBand="0" w:firstRowFirstColumn="0" w:firstRowLastColumn="0" w:lastRowFirstColumn="0" w:lastRowLastColumn="0"/>
            <w:tcW w:w="2232" w:type="pct"/>
            <w:tcBorders>
              <w:left w:val="none" w:sz="0" w:space="0" w:color="auto"/>
            </w:tcBorders>
            <w:vAlign w:val="center"/>
            <w:hideMark/>
          </w:tcPr>
          <w:p w:rsidR="00CB0E9F" w:rsidRPr="00CB0E9F" w:rsidRDefault="00CB0E9F" w:rsidP="00CB0E9F">
            <w:pPr>
              <w:spacing w:line="240" w:lineRule="auto"/>
              <w:contextualSpacing w:val="0"/>
              <w:jc w:val="center"/>
              <w:rPr>
                <w:rFonts w:eastAsia="Times New Roman"/>
                <w:sz w:val="18"/>
                <w:szCs w:val="18"/>
                <w:lang w:eastAsia="es-CO"/>
              </w:rPr>
            </w:pPr>
            <w:r w:rsidRPr="00CB0E9F">
              <w:rPr>
                <w:rFonts w:eastAsia="Times New Roman"/>
                <w:sz w:val="18"/>
                <w:szCs w:val="18"/>
                <w:lang w:eastAsia="es-CO"/>
              </w:rPr>
              <w:t>Vegetación secundaria o en transición</w:t>
            </w:r>
          </w:p>
        </w:tc>
        <w:tc>
          <w:tcPr>
            <w:tcW w:w="435" w:type="pct"/>
            <w:noWrap/>
            <w:vAlign w:val="center"/>
            <w:hideMark/>
          </w:tcPr>
          <w:p w:rsidR="00CB0E9F" w:rsidRPr="00CB0E9F" w:rsidRDefault="00CB0E9F" w:rsidP="00CB0E9F">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CB0E9F">
              <w:rPr>
                <w:rFonts w:eastAsia="Times New Roman"/>
                <w:sz w:val="18"/>
                <w:szCs w:val="18"/>
                <w:lang w:eastAsia="es-CO"/>
              </w:rPr>
              <w:t>2,95</w:t>
            </w:r>
          </w:p>
        </w:tc>
        <w:tc>
          <w:tcPr>
            <w:tcW w:w="1160" w:type="pct"/>
            <w:noWrap/>
            <w:vAlign w:val="center"/>
            <w:hideMark/>
          </w:tcPr>
          <w:p w:rsidR="00CB0E9F" w:rsidRPr="00CB0E9F" w:rsidRDefault="00CB0E9F" w:rsidP="00CB0E9F">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CB0E9F">
              <w:rPr>
                <w:rFonts w:eastAsia="Times New Roman"/>
                <w:color w:val="000000"/>
                <w:sz w:val="18"/>
                <w:szCs w:val="18"/>
                <w:lang w:eastAsia="es-CO"/>
              </w:rPr>
              <w:t xml:space="preserve">                      85.704 </w:t>
            </w:r>
          </w:p>
        </w:tc>
        <w:tc>
          <w:tcPr>
            <w:tcW w:w="1173" w:type="pct"/>
            <w:noWrap/>
            <w:vAlign w:val="center"/>
            <w:hideMark/>
          </w:tcPr>
          <w:p w:rsidR="00CB0E9F" w:rsidRPr="00CB0E9F" w:rsidRDefault="00CB0E9F" w:rsidP="00CB0E9F">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CB0E9F">
              <w:rPr>
                <w:rFonts w:eastAsia="Times New Roman"/>
                <w:color w:val="000000"/>
                <w:sz w:val="18"/>
                <w:szCs w:val="18"/>
                <w:lang w:eastAsia="es-CO"/>
              </w:rPr>
              <w:t xml:space="preserve">                    252.827 </w:t>
            </w:r>
          </w:p>
        </w:tc>
      </w:tr>
      <w:tr w:rsidR="00CB0E9F" w:rsidRPr="00CB0E9F" w:rsidTr="00CB0E9F">
        <w:trPr>
          <w:trHeight w:val="20"/>
        </w:trPr>
        <w:tc>
          <w:tcPr>
            <w:cnfStyle w:val="001000000000" w:firstRow="0" w:lastRow="0" w:firstColumn="1" w:lastColumn="0" w:oddVBand="0" w:evenVBand="0" w:oddHBand="0" w:evenHBand="0" w:firstRowFirstColumn="0" w:firstRowLastColumn="0" w:lastRowFirstColumn="0" w:lastRowLastColumn="0"/>
            <w:tcW w:w="3827" w:type="pct"/>
            <w:gridSpan w:val="3"/>
            <w:tcBorders>
              <w:left w:val="none" w:sz="0" w:space="0" w:color="auto"/>
            </w:tcBorders>
            <w:shd w:val="clear" w:color="auto" w:fill="F2F2F2" w:themeFill="background1" w:themeFillShade="F2"/>
            <w:vAlign w:val="center"/>
            <w:hideMark/>
          </w:tcPr>
          <w:p w:rsidR="00CB0E9F" w:rsidRPr="00CB0E9F" w:rsidRDefault="00CB0E9F" w:rsidP="00CB0E9F">
            <w:pPr>
              <w:spacing w:line="240" w:lineRule="auto"/>
              <w:contextualSpacing w:val="0"/>
              <w:jc w:val="center"/>
              <w:rPr>
                <w:rFonts w:eastAsia="Times New Roman"/>
                <w:b/>
                <w:bCs/>
                <w:sz w:val="18"/>
                <w:szCs w:val="18"/>
                <w:lang w:eastAsia="es-CO"/>
              </w:rPr>
            </w:pPr>
            <w:r w:rsidRPr="00CB0E9F">
              <w:rPr>
                <w:rFonts w:eastAsia="Times New Roman"/>
                <w:b/>
                <w:bCs/>
                <w:sz w:val="18"/>
                <w:szCs w:val="18"/>
                <w:lang w:eastAsia="es-CO"/>
              </w:rPr>
              <w:t>Total</w:t>
            </w:r>
          </w:p>
        </w:tc>
        <w:tc>
          <w:tcPr>
            <w:tcW w:w="1173" w:type="pct"/>
            <w:shd w:val="clear" w:color="auto" w:fill="F2F2F2" w:themeFill="background1" w:themeFillShade="F2"/>
            <w:noWrap/>
            <w:vAlign w:val="center"/>
            <w:hideMark/>
          </w:tcPr>
          <w:p w:rsidR="00CB0E9F" w:rsidRPr="00CB0E9F" w:rsidRDefault="00CB0E9F" w:rsidP="00CB0E9F">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CB0E9F">
              <w:rPr>
                <w:rFonts w:eastAsia="Times New Roman"/>
                <w:b/>
                <w:bCs/>
                <w:color w:val="000000"/>
                <w:sz w:val="18"/>
                <w:szCs w:val="18"/>
                <w:lang w:eastAsia="es-CO"/>
              </w:rPr>
              <w:t xml:space="preserve">                7.214.843 </w:t>
            </w:r>
          </w:p>
        </w:tc>
      </w:tr>
      <w:tr w:rsidR="00CB0E9F" w:rsidRPr="00CB0E9F" w:rsidTr="00CB0E9F">
        <w:trPr>
          <w:trHeight w:val="20"/>
        </w:trPr>
        <w:tc>
          <w:tcPr>
            <w:cnfStyle w:val="001000000000" w:firstRow="0" w:lastRow="0" w:firstColumn="1" w:lastColumn="0" w:oddVBand="0" w:evenVBand="0" w:oddHBand="0" w:evenHBand="0" w:firstRowFirstColumn="0" w:firstRowLastColumn="0" w:lastRowFirstColumn="0" w:lastRowLastColumn="0"/>
            <w:tcW w:w="3827" w:type="pct"/>
            <w:gridSpan w:val="3"/>
            <w:tcBorders>
              <w:left w:val="none" w:sz="0" w:space="0" w:color="auto"/>
            </w:tcBorders>
            <w:vAlign w:val="center"/>
            <w:hideMark/>
          </w:tcPr>
          <w:p w:rsidR="00CB0E9F" w:rsidRPr="00CB0E9F" w:rsidRDefault="00CB0E9F" w:rsidP="00CB0E9F">
            <w:pPr>
              <w:spacing w:line="240" w:lineRule="auto"/>
              <w:contextualSpacing w:val="0"/>
              <w:jc w:val="center"/>
              <w:rPr>
                <w:rFonts w:eastAsia="Times New Roman"/>
                <w:sz w:val="18"/>
                <w:szCs w:val="18"/>
                <w:lang w:eastAsia="es-CO"/>
              </w:rPr>
            </w:pPr>
            <w:r w:rsidRPr="00CB0E9F">
              <w:rPr>
                <w:rFonts w:eastAsia="Times New Roman"/>
                <w:sz w:val="18"/>
                <w:szCs w:val="18"/>
                <w:lang w:eastAsia="es-CO"/>
              </w:rPr>
              <w:t>Valor Presente Neto ($)</w:t>
            </w:r>
          </w:p>
        </w:tc>
        <w:tc>
          <w:tcPr>
            <w:tcW w:w="1173" w:type="pct"/>
            <w:vAlign w:val="center"/>
            <w:hideMark/>
          </w:tcPr>
          <w:p w:rsidR="00CB0E9F" w:rsidRPr="00CB0E9F" w:rsidRDefault="00CB0E9F" w:rsidP="00CB0E9F">
            <w:pPr>
              <w:spacing w:line="240" w:lineRule="auto"/>
              <w:ind w:right="-219"/>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CB0E9F">
              <w:rPr>
                <w:rFonts w:eastAsia="Times New Roman"/>
                <w:sz w:val="18"/>
                <w:szCs w:val="18"/>
                <w:lang w:eastAsia="es-CO"/>
              </w:rPr>
              <w:t>6.441.824</w:t>
            </w:r>
          </w:p>
        </w:tc>
      </w:tr>
    </w:tbl>
    <w:p w:rsidR="00CB0E9F" w:rsidRPr="00AA0A2C" w:rsidRDefault="00CB0E9F" w:rsidP="00CB0E9F">
      <w:pPr>
        <w:pStyle w:val="Notas"/>
      </w:pPr>
      <w:r>
        <w:t xml:space="preserve">Fuente: </w:t>
      </w:r>
      <w:r w:rsidRPr="00AA0A2C">
        <w:t>Autopista Rio Magdalena S.A.S., 2016.</w:t>
      </w:r>
    </w:p>
    <w:p w:rsidR="00CB0E9F" w:rsidRDefault="00CB0E9F">
      <w:pPr>
        <w:spacing w:line="240" w:lineRule="auto"/>
        <w:contextualSpacing w:val="0"/>
        <w:jc w:val="left"/>
        <w:rPr>
          <w:rFonts w:asciiTheme="majorHAnsi" w:hAnsiTheme="majorHAnsi" w:cs="Arial"/>
          <w:b/>
          <w:i/>
        </w:rPr>
      </w:pPr>
    </w:p>
    <w:p w:rsidR="00AA0A2C" w:rsidRPr="00AA0A2C" w:rsidRDefault="00AA0A2C" w:rsidP="00AA0A2C">
      <w:pPr>
        <w:rPr>
          <w:rFonts w:asciiTheme="majorHAnsi" w:hAnsiTheme="majorHAnsi" w:cs="Arial"/>
          <w:b/>
          <w:i/>
        </w:rPr>
      </w:pPr>
      <w:r w:rsidRPr="00AA0A2C">
        <w:rPr>
          <w:rFonts w:asciiTheme="majorHAnsi" w:hAnsiTheme="majorHAnsi" w:cs="Arial"/>
          <w:b/>
          <w:i/>
        </w:rPr>
        <w:t>Disminución de cobertura vegetal</w:t>
      </w:r>
    </w:p>
    <w:p w:rsidR="00AA0A2C" w:rsidRPr="00AA0A2C" w:rsidRDefault="00AA0A2C" w:rsidP="00AA0A2C">
      <w:pPr>
        <w:rPr>
          <w:rFonts w:asciiTheme="majorHAnsi" w:hAnsiTheme="majorHAnsi" w:cs="Arial"/>
          <w:b/>
          <w:i/>
        </w:rPr>
      </w:pPr>
    </w:p>
    <w:p w:rsidR="00AA0A2C" w:rsidRPr="00AA0A2C" w:rsidRDefault="00AA0A2C" w:rsidP="00AA0A2C">
      <w:pPr>
        <w:rPr>
          <w:rFonts w:asciiTheme="majorHAnsi" w:hAnsiTheme="majorHAnsi" w:cs="Arial"/>
        </w:rPr>
      </w:pPr>
      <w:r w:rsidRPr="00AA0A2C">
        <w:rPr>
          <w:rFonts w:asciiTheme="majorHAnsi" w:hAnsiTheme="majorHAnsi" w:cs="Arial"/>
        </w:rPr>
        <w:t xml:space="preserve">El requerimiento constructivo para la materialización del Proyecto </w:t>
      </w:r>
      <w:r w:rsidR="00186175" w:rsidRPr="00AA0A2C">
        <w:rPr>
          <w:rFonts w:asciiTheme="majorHAnsi" w:hAnsiTheme="majorHAnsi"/>
        </w:rPr>
        <w:t>Construcción de la Variante Puerto Berrío en los Departamentos de Antioquia y Santander</w:t>
      </w:r>
      <w:r w:rsidRPr="00AA0A2C">
        <w:rPr>
          <w:rFonts w:asciiTheme="majorHAnsi" w:hAnsiTheme="majorHAnsi" w:cs="Arial"/>
        </w:rPr>
        <w:t xml:space="preserve">, comprende la intervención de </w:t>
      </w:r>
      <w:r w:rsidR="00186175">
        <w:rPr>
          <w:rFonts w:asciiTheme="majorHAnsi" w:hAnsiTheme="majorHAnsi" w:cs="Arial"/>
          <w:b/>
        </w:rPr>
        <w:t>85,45</w:t>
      </w:r>
      <w:r w:rsidRPr="00AA0A2C">
        <w:rPr>
          <w:rFonts w:asciiTheme="majorHAnsi" w:hAnsiTheme="majorHAnsi" w:cs="Arial"/>
          <w:b/>
        </w:rPr>
        <w:tab/>
        <w:t>Ha</w:t>
      </w:r>
      <w:r w:rsidRPr="00AA0A2C">
        <w:rPr>
          <w:rFonts w:asciiTheme="majorHAnsi" w:hAnsiTheme="majorHAnsi" w:cs="Arial"/>
        </w:rPr>
        <w:t>, que incluyen vía en superficie, plataformas de trabajo, vías industriales, zonas de manejo de escombros y material de excavación (Z</w:t>
      </w:r>
      <w:r w:rsidR="00186175" w:rsidRPr="00AA0A2C">
        <w:rPr>
          <w:rFonts w:asciiTheme="majorHAnsi" w:hAnsiTheme="majorHAnsi" w:cs="Arial"/>
        </w:rPr>
        <w:t>ODME</w:t>
      </w:r>
      <w:r w:rsidR="00186175">
        <w:rPr>
          <w:rFonts w:asciiTheme="majorHAnsi" w:hAnsiTheme="majorHAnsi" w:cs="Arial"/>
        </w:rPr>
        <w:t>s)</w:t>
      </w:r>
      <w:r w:rsidRPr="00AA0A2C">
        <w:rPr>
          <w:rFonts w:asciiTheme="majorHAnsi" w:hAnsiTheme="majorHAnsi" w:cs="Arial"/>
        </w:rPr>
        <w:t>, etc.  De acuerdo con la distribución de la cobertura se determinó como impacto significativo la disminución de la cobertura vegetal, como consecuencia directa de las actividades de desmonte y descapote del área requerida para la construcción de la vía y demás obras requeridas para el desarrollo de las actividades de esta etapa constructiva. Como tal este impacto consiste en la eliminación de la vegetación y por tanto incluye el efecto negativo que se genera por la desaparición esa cobertura.</w:t>
      </w:r>
    </w:p>
    <w:p w:rsidR="00AA0A2C" w:rsidRPr="00AA0A2C" w:rsidRDefault="00AA0A2C" w:rsidP="00AA0A2C">
      <w:pPr>
        <w:rPr>
          <w:rFonts w:asciiTheme="majorHAnsi" w:hAnsiTheme="majorHAnsi" w:cs="Arial"/>
        </w:rPr>
      </w:pPr>
    </w:p>
    <w:p w:rsidR="00AA0A2C" w:rsidRPr="00AA0A2C" w:rsidRDefault="00AA0A2C" w:rsidP="00AA0A2C">
      <w:pPr>
        <w:rPr>
          <w:rFonts w:asciiTheme="majorHAnsi" w:hAnsiTheme="majorHAnsi" w:cs="Arial"/>
        </w:rPr>
      </w:pPr>
      <w:r w:rsidRPr="00AA0A2C">
        <w:rPr>
          <w:rFonts w:asciiTheme="majorHAnsi" w:hAnsiTheme="majorHAnsi" w:cs="Arial"/>
        </w:rPr>
        <w:t xml:space="preserve">Para la valoración de este impacto se tomaron como referencia los tipos de coberturas del suelo señalados en el Capítulo de Caracterización del Área de Influencia del respectivo EIA, con el propósito de establecer y aplicar los diferentes parámetros de medición para el impacto producto de la remoción de cobertura vegetal y obtener así las respectivas cuantificaciones monetarias que exige la valoración económica.  </w:t>
      </w:r>
    </w:p>
    <w:p w:rsidR="00AA0A2C" w:rsidRPr="00AA0A2C" w:rsidRDefault="00AA0A2C" w:rsidP="00AA0A2C">
      <w:pPr>
        <w:rPr>
          <w:rFonts w:asciiTheme="majorHAnsi" w:hAnsiTheme="majorHAnsi" w:cs="Arial"/>
        </w:rPr>
      </w:pPr>
    </w:p>
    <w:p w:rsidR="00AA0A2C" w:rsidRDefault="00AA0A2C" w:rsidP="00AA0A2C">
      <w:pPr>
        <w:rPr>
          <w:rFonts w:asciiTheme="majorHAnsi" w:hAnsiTheme="majorHAnsi" w:cs="Arial"/>
        </w:rPr>
      </w:pPr>
      <w:r w:rsidRPr="00AA0A2C">
        <w:rPr>
          <w:rFonts w:asciiTheme="majorHAnsi" w:hAnsiTheme="majorHAnsi" w:cs="Arial"/>
        </w:rPr>
        <w:t xml:space="preserve">De acuerdo a la caracterización del área de influencia, las coberturas de porte arbóreo que van a ser afectadas por las actividades de construcción </w:t>
      </w:r>
      <w:r w:rsidR="005B22DF">
        <w:rPr>
          <w:rFonts w:asciiTheme="majorHAnsi" w:hAnsiTheme="majorHAnsi" w:cs="Arial"/>
        </w:rPr>
        <w:t>del proyecto</w:t>
      </w:r>
      <w:r w:rsidRPr="00AA0A2C">
        <w:rPr>
          <w:rFonts w:asciiTheme="majorHAnsi" w:hAnsiTheme="majorHAnsi" w:cs="Arial"/>
        </w:rPr>
        <w:t xml:space="preserve"> corresponden a </w:t>
      </w:r>
      <w:r w:rsidR="005B22DF">
        <w:rPr>
          <w:rFonts w:asciiTheme="majorHAnsi" w:hAnsiTheme="majorHAnsi" w:cs="Arial"/>
        </w:rPr>
        <w:t xml:space="preserve">Bosque abierto, </w:t>
      </w:r>
      <w:r w:rsidRPr="00AA0A2C">
        <w:rPr>
          <w:rFonts w:asciiTheme="majorHAnsi" w:hAnsiTheme="majorHAnsi" w:cs="Arial"/>
        </w:rPr>
        <w:t xml:space="preserve">Bosque de galería y </w:t>
      </w:r>
      <w:r w:rsidR="00074339">
        <w:rPr>
          <w:rFonts w:asciiTheme="majorHAnsi" w:hAnsiTheme="majorHAnsi" w:cs="Arial"/>
        </w:rPr>
        <w:t>r</w:t>
      </w:r>
      <w:r w:rsidRPr="00AA0A2C">
        <w:rPr>
          <w:rFonts w:asciiTheme="majorHAnsi" w:hAnsiTheme="majorHAnsi" w:cs="Arial"/>
        </w:rPr>
        <w:t>ipario y Vegetación secundaria o en transición. El detalle se presenta en la siguiente Tabla.</w:t>
      </w:r>
    </w:p>
    <w:p w:rsidR="005B22DF" w:rsidRDefault="005B22DF">
      <w:pPr>
        <w:spacing w:line="240" w:lineRule="auto"/>
        <w:contextualSpacing w:val="0"/>
        <w:jc w:val="left"/>
        <w:rPr>
          <w:rFonts w:asciiTheme="majorHAnsi" w:hAnsiTheme="majorHAnsi" w:cs="Arial"/>
          <w:b/>
        </w:rPr>
      </w:pPr>
    </w:p>
    <w:p w:rsidR="00AA0A2C" w:rsidRDefault="005B22DF" w:rsidP="005B22DF">
      <w:pPr>
        <w:pStyle w:val="Tablas"/>
      </w:pPr>
      <w:r>
        <w:t xml:space="preserve">Tabla </w:t>
      </w:r>
      <w:r w:rsidR="006D0D6E">
        <w:fldChar w:fldCharType="begin"/>
      </w:r>
      <w:r w:rsidR="006D0D6E">
        <w:instrText xml:space="preserve"> STYLEREF 1 \s </w:instrText>
      </w:r>
      <w:r w:rsidR="006D0D6E">
        <w:fldChar w:fldCharType="separate"/>
      </w:r>
      <w:r w:rsidR="006D0D6E">
        <w:rPr>
          <w:noProof/>
        </w:rPr>
        <w:t>10</w:t>
      </w:r>
      <w:r w:rsidR="006D0D6E">
        <w:fldChar w:fldCharType="end"/>
      </w:r>
      <w:r w:rsidR="006D0D6E">
        <w:t>.</w:t>
      </w:r>
      <w:r w:rsidR="006D0D6E">
        <w:fldChar w:fldCharType="begin"/>
      </w:r>
      <w:r w:rsidR="006D0D6E">
        <w:instrText xml:space="preserve"> SEQ Tabla \* ARABIC \s 1 </w:instrText>
      </w:r>
      <w:r w:rsidR="006D0D6E">
        <w:fldChar w:fldCharType="separate"/>
      </w:r>
      <w:r w:rsidR="006D0D6E">
        <w:rPr>
          <w:noProof/>
        </w:rPr>
        <w:t>11</w:t>
      </w:r>
      <w:r w:rsidR="006D0D6E">
        <w:fldChar w:fldCharType="end"/>
      </w:r>
      <w:r>
        <w:t xml:space="preserve"> Cobertura v</w:t>
      </w:r>
      <w:r w:rsidRPr="005B22DF">
        <w:t xml:space="preserve">egetal en </w:t>
      </w:r>
      <w:r>
        <w:t>el área de intervención del proyecto</w:t>
      </w:r>
    </w:p>
    <w:tbl>
      <w:tblPr>
        <w:tblStyle w:val="Gminis"/>
        <w:tblW w:w="5000" w:type="pct"/>
        <w:tblLook w:val="04A0" w:firstRow="1" w:lastRow="0" w:firstColumn="1" w:lastColumn="0" w:noHBand="0" w:noVBand="1"/>
      </w:tblPr>
      <w:tblGrid>
        <w:gridCol w:w="2670"/>
        <w:gridCol w:w="1323"/>
        <w:gridCol w:w="1302"/>
        <w:gridCol w:w="1441"/>
        <w:gridCol w:w="1525"/>
      </w:tblGrid>
      <w:tr w:rsidR="005B22DF" w:rsidRPr="005B22DF" w:rsidTr="00A243FB">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gridSpan w:val="5"/>
            <w:tcBorders>
              <w:top w:val="none" w:sz="0" w:space="0" w:color="auto"/>
              <w:left w:val="none" w:sz="0" w:space="0" w:color="auto"/>
              <w:bottom w:val="none" w:sz="0" w:space="0" w:color="auto"/>
              <w:right w:val="none" w:sz="0" w:space="0" w:color="auto"/>
            </w:tcBorders>
            <w:noWrap/>
            <w:vAlign w:val="center"/>
            <w:hideMark/>
          </w:tcPr>
          <w:p w:rsidR="005B22DF" w:rsidRPr="005B22DF" w:rsidRDefault="005B22DF" w:rsidP="00A243FB">
            <w:pPr>
              <w:spacing w:line="240" w:lineRule="auto"/>
              <w:contextualSpacing w:val="0"/>
              <w:jc w:val="center"/>
              <w:rPr>
                <w:rFonts w:eastAsia="Times New Roman"/>
                <w:bCs/>
                <w:color w:val="000000"/>
                <w:sz w:val="18"/>
                <w:szCs w:val="18"/>
                <w:lang w:eastAsia="es-CO"/>
              </w:rPr>
            </w:pPr>
            <w:r w:rsidRPr="005B22DF">
              <w:rPr>
                <w:rFonts w:eastAsia="Times New Roman"/>
                <w:bCs/>
                <w:color w:val="000000"/>
                <w:sz w:val="18"/>
                <w:szCs w:val="18"/>
                <w:lang w:eastAsia="es-CO"/>
              </w:rPr>
              <w:t>DISMINUCIÓN DE COBERTURA VEGETAL EN CONSTRUCCIÓN</w:t>
            </w:r>
          </w:p>
        </w:tc>
      </w:tr>
      <w:tr w:rsidR="005B22DF" w:rsidRPr="005B22DF" w:rsidTr="00A243FB">
        <w:trPr>
          <w:trHeight w:val="20"/>
        </w:trPr>
        <w:tc>
          <w:tcPr>
            <w:cnfStyle w:val="001000000000" w:firstRow="0" w:lastRow="0" w:firstColumn="1" w:lastColumn="0" w:oddVBand="0" w:evenVBand="0" w:oddHBand="0" w:evenHBand="0" w:firstRowFirstColumn="0" w:firstRowLastColumn="0" w:lastRowFirstColumn="0" w:lastRowLastColumn="0"/>
            <w:tcW w:w="1616" w:type="pct"/>
            <w:tcBorders>
              <w:left w:val="none" w:sz="0" w:space="0" w:color="auto"/>
            </w:tcBorders>
            <w:noWrap/>
            <w:vAlign w:val="center"/>
            <w:hideMark/>
          </w:tcPr>
          <w:p w:rsidR="005B22DF" w:rsidRPr="005B22DF" w:rsidRDefault="005B22DF" w:rsidP="00A243FB">
            <w:pPr>
              <w:spacing w:line="240" w:lineRule="auto"/>
              <w:contextualSpacing w:val="0"/>
              <w:jc w:val="center"/>
              <w:rPr>
                <w:rFonts w:eastAsia="Times New Roman"/>
                <w:b/>
                <w:bCs/>
                <w:color w:val="000000"/>
                <w:sz w:val="18"/>
                <w:szCs w:val="18"/>
                <w:lang w:eastAsia="es-CO"/>
              </w:rPr>
            </w:pPr>
            <w:r w:rsidRPr="005B22DF">
              <w:rPr>
                <w:rFonts w:eastAsia="Times New Roman"/>
                <w:b/>
                <w:bCs/>
                <w:color w:val="000000"/>
                <w:sz w:val="18"/>
                <w:szCs w:val="18"/>
                <w:lang w:eastAsia="es-CO"/>
              </w:rPr>
              <w:t>Causa</w:t>
            </w:r>
          </w:p>
        </w:tc>
        <w:tc>
          <w:tcPr>
            <w:tcW w:w="3384" w:type="pct"/>
            <w:gridSpan w:val="4"/>
            <w:noWrap/>
            <w:vAlign w:val="center"/>
            <w:hideMark/>
          </w:tcPr>
          <w:p w:rsidR="005B22DF" w:rsidRPr="005B22DF" w:rsidRDefault="005B22DF"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5B22DF">
              <w:rPr>
                <w:rFonts w:eastAsia="Times New Roman"/>
                <w:b/>
                <w:bCs/>
                <w:color w:val="000000"/>
                <w:sz w:val="18"/>
                <w:szCs w:val="18"/>
                <w:lang w:eastAsia="es-CO"/>
              </w:rPr>
              <w:t>Detalle del impacto</w:t>
            </w:r>
          </w:p>
        </w:tc>
      </w:tr>
      <w:tr w:rsidR="005B22DF" w:rsidRPr="005B22DF" w:rsidTr="00A243FB">
        <w:trPr>
          <w:trHeight w:val="20"/>
        </w:trPr>
        <w:tc>
          <w:tcPr>
            <w:cnfStyle w:val="001000000000" w:firstRow="0" w:lastRow="0" w:firstColumn="1" w:lastColumn="0" w:oddVBand="0" w:evenVBand="0" w:oddHBand="0" w:evenHBand="0" w:firstRowFirstColumn="0" w:firstRowLastColumn="0" w:lastRowFirstColumn="0" w:lastRowLastColumn="0"/>
            <w:tcW w:w="1616" w:type="pct"/>
            <w:vMerge w:val="restart"/>
            <w:tcBorders>
              <w:left w:val="none" w:sz="0" w:space="0" w:color="auto"/>
            </w:tcBorders>
            <w:vAlign w:val="center"/>
            <w:hideMark/>
          </w:tcPr>
          <w:p w:rsidR="005B22DF" w:rsidRPr="005B22DF" w:rsidRDefault="005B22DF" w:rsidP="00A243FB">
            <w:pPr>
              <w:spacing w:line="240" w:lineRule="auto"/>
              <w:contextualSpacing w:val="0"/>
              <w:jc w:val="center"/>
              <w:rPr>
                <w:rFonts w:eastAsia="Times New Roman"/>
                <w:color w:val="000000"/>
                <w:sz w:val="18"/>
                <w:szCs w:val="18"/>
                <w:lang w:eastAsia="es-CO"/>
              </w:rPr>
            </w:pPr>
            <w:r w:rsidRPr="005B22DF">
              <w:rPr>
                <w:rFonts w:eastAsia="Times New Roman"/>
                <w:color w:val="000000"/>
                <w:sz w:val="18"/>
                <w:szCs w:val="18"/>
                <w:lang w:eastAsia="es-CO"/>
              </w:rPr>
              <w:t xml:space="preserve">Alteraciones derivadas de la intervención directa sobre la capa orgánica de los suelos producto de la explanación del terreno para la posterior adaptación </w:t>
            </w:r>
            <w:r>
              <w:rPr>
                <w:rFonts w:eastAsia="Times New Roman"/>
                <w:color w:val="000000"/>
                <w:sz w:val="18"/>
                <w:szCs w:val="18"/>
                <w:lang w:eastAsia="es-CO"/>
              </w:rPr>
              <w:t>de la variante</w:t>
            </w:r>
            <w:r w:rsidRPr="005B22DF">
              <w:rPr>
                <w:rFonts w:eastAsia="Times New Roman"/>
                <w:color w:val="000000"/>
                <w:sz w:val="18"/>
                <w:szCs w:val="18"/>
                <w:lang w:eastAsia="es-CO"/>
              </w:rPr>
              <w:t>.</w:t>
            </w:r>
          </w:p>
        </w:tc>
        <w:tc>
          <w:tcPr>
            <w:tcW w:w="801" w:type="pct"/>
            <w:vAlign w:val="center"/>
            <w:hideMark/>
          </w:tcPr>
          <w:p w:rsidR="005B22DF" w:rsidRPr="005B22DF" w:rsidRDefault="005B22DF"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5B22DF">
              <w:rPr>
                <w:rFonts w:eastAsia="Times New Roman"/>
                <w:b/>
                <w:bCs/>
                <w:color w:val="000000"/>
                <w:sz w:val="18"/>
                <w:szCs w:val="18"/>
                <w:lang w:eastAsia="es-CO"/>
              </w:rPr>
              <w:t>Componente</w:t>
            </w:r>
          </w:p>
        </w:tc>
        <w:tc>
          <w:tcPr>
            <w:tcW w:w="2583" w:type="pct"/>
            <w:gridSpan w:val="3"/>
            <w:noWrap/>
            <w:vAlign w:val="center"/>
            <w:hideMark/>
          </w:tcPr>
          <w:p w:rsidR="005B22DF" w:rsidRPr="005B22DF" w:rsidRDefault="005B22DF"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B22DF">
              <w:rPr>
                <w:rFonts w:eastAsia="Times New Roman"/>
                <w:color w:val="000000"/>
                <w:sz w:val="18"/>
                <w:szCs w:val="18"/>
                <w:lang w:eastAsia="es-CO"/>
              </w:rPr>
              <w:t>Biótico</w:t>
            </w:r>
          </w:p>
        </w:tc>
      </w:tr>
      <w:tr w:rsidR="005B22DF" w:rsidRPr="005B22DF" w:rsidTr="00A243FB">
        <w:trPr>
          <w:trHeight w:val="20"/>
        </w:trPr>
        <w:tc>
          <w:tcPr>
            <w:cnfStyle w:val="001000000000" w:firstRow="0" w:lastRow="0" w:firstColumn="1" w:lastColumn="0" w:oddVBand="0" w:evenVBand="0" w:oddHBand="0" w:evenHBand="0" w:firstRowFirstColumn="0" w:firstRowLastColumn="0" w:lastRowFirstColumn="0" w:lastRowLastColumn="0"/>
            <w:tcW w:w="1616" w:type="pct"/>
            <w:vMerge/>
            <w:tcBorders>
              <w:left w:val="none" w:sz="0" w:space="0" w:color="auto"/>
            </w:tcBorders>
            <w:vAlign w:val="center"/>
            <w:hideMark/>
          </w:tcPr>
          <w:p w:rsidR="005B22DF" w:rsidRPr="005B22DF" w:rsidRDefault="005B22DF" w:rsidP="00A243FB">
            <w:pPr>
              <w:spacing w:line="240" w:lineRule="auto"/>
              <w:contextualSpacing w:val="0"/>
              <w:jc w:val="center"/>
              <w:rPr>
                <w:rFonts w:eastAsia="Times New Roman"/>
                <w:color w:val="000000"/>
                <w:sz w:val="18"/>
                <w:szCs w:val="18"/>
                <w:lang w:eastAsia="es-CO"/>
              </w:rPr>
            </w:pPr>
          </w:p>
        </w:tc>
        <w:tc>
          <w:tcPr>
            <w:tcW w:w="801" w:type="pct"/>
            <w:vAlign w:val="center"/>
            <w:hideMark/>
          </w:tcPr>
          <w:p w:rsidR="005B22DF" w:rsidRPr="005B22DF" w:rsidRDefault="005B22DF"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5B22DF">
              <w:rPr>
                <w:rFonts w:eastAsia="Times New Roman"/>
                <w:b/>
                <w:bCs/>
                <w:color w:val="000000"/>
                <w:sz w:val="18"/>
                <w:szCs w:val="18"/>
                <w:lang w:eastAsia="es-CO"/>
              </w:rPr>
              <w:t>Elemento</w:t>
            </w:r>
          </w:p>
        </w:tc>
        <w:tc>
          <w:tcPr>
            <w:tcW w:w="2583" w:type="pct"/>
            <w:gridSpan w:val="3"/>
            <w:noWrap/>
            <w:vAlign w:val="center"/>
            <w:hideMark/>
          </w:tcPr>
          <w:p w:rsidR="005B22DF" w:rsidRPr="005B22DF" w:rsidRDefault="005B22DF"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B22DF">
              <w:rPr>
                <w:rFonts w:eastAsia="Times New Roman"/>
                <w:color w:val="000000"/>
                <w:sz w:val="18"/>
                <w:szCs w:val="18"/>
                <w:lang w:eastAsia="es-CO"/>
              </w:rPr>
              <w:t>Flora</w:t>
            </w:r>
          </w:p>
        </w:tc>
      </w:tr>
      <w:tr w:rsidR="005B22DF" w:rsidRPr="005B22DF" w:rsidTr="00A243FB">
        <w:trPr>
          <w:trHeight w:val="20"/>
        </w:trPr>
        <w:tc>
          <w:tcPr>
            <w:cnfStyle w:val="001000000000" w:firstRow="0" w:lastRow="0" w:firstColumn="1" w:lastColumn="0" w:oddVBand="0" w:evenVBand="0" w:oddHBand="0" w:evenHBand="0" w:firstRowFirstColumn="0" w:firstRowLastColumn="0" w:lastRowFirstColumn="0" w:lastRowLastColumn="0"/>
            <w:tcW w:w="1616" w:type="pct"/>
            <w:vMerge/>
            <w:tcBorders>
              <w:left w:val="none" w:sz="0" w:space="0" w:color="auto"/>
            </w:tcBorders>
            <w:vAlign w:val="center"/>
            <w:hideMark/>
          </w:tcPr>
          <w:p w:rsidR="005B22DF" w:rsidRPr="005B22DF" w:rsidRDefault="005B22DF" w:rsidP="00A243FB">
            <w:pPr>
              <w:spacing w:line="240" w:lineRule="auto"/>
              <w:contextualSpacing w:val="0"/>
              <w:jc w:val="center"/>
              <w:rPr>
                <w:rFonts w:eastAsia="Times New Roman"/>
                <w:color w:val="000000"/>
                <w:sz w:val="18"/>
                <w:szCs w:val="18"/>
                <w:lang w:eastAsia="es-CO"/>
              </w:rPr>
            </w:pPr>
          </w:p>
        </w:tc>
        <w:tc>
          <w:tcPr>
            <w:tcW w:w="801" w:type="pct"/>
            <w:vAlign w:val="center"/>
            <w:hideMark/>
          </w:tcPr>
          <w:p w:rsidR="005B22DF" w:rsidRPr="005B22DF" w:rsidRDefault="005B22DF"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5B22DF">
              <w:rPr>
                <w:rFonts w:eastAsia="Times New Roman"/>
                <w:b/>
                <w:bCs/>
                <w:color w:val="000000"/>
                <w:sz w:val="18"/>
                <w:szCs w:val="18"/>
                <w:lang w:eastAsia="es-CO"/>
              </w:rPr>
              <w:t>Indicador</w:t>
            </w:r>
          </w:p>
        </w:tc>
        <w:tc>
          <w:tcPr>
            <w:tcW w:w="2583" w:type="pct"/>
            <w:gridSpan w:val="3"/>
            <w:noWrap/>
            <w:vAlign w:val="center"/>
            <w:hideMark/>
          </w:tcPr>
          <w:p w:rsidR="005B22DF" w:rsidRPr="005B22DF" w:rsidRDefault="005B22DF"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B22DF">
              <w:rPr>
                <w:rFonts w:eastAsia="Times New Roman"/>
                <w:color w:val="000000"/>
                <w:sz w:val="18"/>
                <w:szCs w:val="18"/>
                <w:lang w:eastAsia="es-CO"/>
              </w:rPr>
              <w:t>Cobertura</w:t>
            </w:r>
          </w:p>
        </w:tc>
      </w:tr>
      <w:tr w:rsidR="005B22DF" w:rsidRPr="005B22DF" w:rsidTr="00A243FB">
        <w:trPr>
          <w:trHeight w:val="20"/>
        </w:trPr>
        <w:tc>
          <w:tcPr>
            <w:cnfStyle w:val="001000000000" w:firstRow="0" w:lastRow="0" w:firstColumn="1" w:lastColumn="0" w:oddVBand="0" w:evenVBand="0" w:oddHBand="0" w:evenHBand="0" w:firstRowFirstColumn="0" w:firstRowLastColumn="0" w:lastRowFirstColumn="0" w:lastRowLastColumn="0"/>
            <w:tcW w:w="1616" w:type="pct"/>
            <w:vMerge/>
            <w:tcBorders>
              <w:left w:val="none" w:sz="0" w:space="0" w:color="auto"/>
            </w:tcBorders>
            <w:vAlign w:val="center"/>
            <w:hideMark/>
          </w:tcPr>
          <w:p w:rsidR="005B22DF" w:rsidRPr="005B22DF" w:rsidRDefault="005B22DF" w:rsidP="00A243FB">
            <w:pPr>
              <w:spacing w:line="240" w:lineRule="auto"/>
              <w:contextualSpacing w:val="0"/>
              <w:jc w:val="center"/>
              <w:rPr>
                <w:rFonts w:eastAsia="Times New Roman"/>
                <w:color w:val="000000"/>
                <w:sz w:val="18"/>
                <w:szCs w:val="18"/>
                <w:lang w:eastAsia="es-CO"/>
              </w:rPr>
            </w:pPr>
          </w:p>
        </w:tc>
        <w:tc>
          <w:tcPr>
            <w:tcW w:w="801" w:type="pct"/>
            <w:vAlign w:val="center"/>
            <w:hideMark/>
          </w:tcPr>
          <w:p w:rsidR="005B22DF" w:rsidRPr="005B22DF" w:rsidRDefault="005B22DF"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FF0000"/>
                <w:sz w:val="18"/>
                <w:szCs w:val="18"/>
                <w:lang w:eastAsia="es-CO"/>
              </w:rPr>
            </w:pPr>
            <w:r w:rsidRPr="005B22DF">
              <w:rPr>
                <w:rFonts w:eastAsia="Times New Roman"/>
                <w:b/>
                <w:bCs/>
                <w:color w:val="FF0000"/>
                <w:sz w:val="18"/>
                <w:szCs w:val="18"/>
                <w:lang w:eastAsia="es-CO"/>
              </w:rPr>
              <w:t>Impacto</w:t>
            </w:r>
          </w:p>
        </w:tc>
        <w:tc>
          <w:tcPr>
            <w:tcW w:w="2583" w:type="pct"/>
            <w:gridSpan w:val="3"/>
            <w:vAlign w:val="center"/>
            <w:hideMark/>
          </w:tcPr>
          <w:p w:rsidR="005B22DF" w:rsidRPr="005B22DF" w:rsidRDefault="005B22DF"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FF0000"/>
                <w:sz w:val="18"/>
                <w:szCs w:val="18"/>
                <w:lang w:eastAsia="es-CO"/>
              </w:rPr>
            </w:pPr>
            <w:r w:rsidRPr="005B22DF">
              <w:rPr>
                <w:rFonts w:eastAsia="Times New Roman"/>
                <w:b/>
                <w:bCs/>
                <w:color w:val="FF0000"/>
                <w:sz w:val="18"/>
                <w:szCs w:val="18"/>
                <w:lang w:eastAsia="es-CO"/>
              </w:rPr>
              <w:t>Disminución de cobertura vegetal</w:t>
            </w:r>
          </w:p>
        </w:tc>
      </w:tr>
      <w:tr w:rsidR="005B22DF" w:rsidRPr="005B22DF" w:rsidTr="00A243FB">
        <w:trPr>
          <w:trHeight w:val="20"/>
        </w:trPr>
        <w:tc>
          <w:tcPr>
            <w:cnfStyle w:val="001000000000" w:firstRow="0" w:lastRow="0" w:firstColumn="1" w:lastColumn="0" w:oddVBand="0" w:evenVBand="0" w:oddHBand="0" w:evenHBand="0" w:firstRowFirstColumn="0" w:firstRowLastColumn="0" w:lastRowFirstColumn="0" w:lastRowLastColumn="0"/>
            <w:tcW w:w="1616" w:type="pct"/>
            <w:vMerge/>
            <w:tcBorders>
              <w:left w:val="none" w:sz="0" w:space="0" w:color="auto"/>
            </w:tcBorders>
            <w:vAlign w:val="center"/>
            <w:hideMark/>
          </w:tcPr>
          <w:p w:rsidR="005B22DF" w:rsidRPr="005B22DF" w:rsidRDefault="005B22DF" w:rsidP="00A243FB">
            <w:pPr>
              <w:spacing w:line="240" w:lineRule="auto"/>
              <w:contextualSpacing w:val="0"/>
              <w:jc w:val="center"/>
              <w:rPr>
                <w:rFonts w:eastAsia="Times New Roman"/>
                <w:color w:val="000000"/>
                <w:sz w:val="18"/>
                <w:szCs w:val="18"/>
                <w:lang w:eastAsia="es-CO"/>
              </w:rPr>
            </w:pPr>
          </w:p>
        </w:tc>
        <w:tc>
          <w:tcPr>
            <w:tcW w:w="801" w:type="pct"/>
            <w:vAlign w:val="center"/>
            <w:hideMark/>
          </w:tcPr>
          <w:p w:rsidR="005B22DF" w:rsidRPr="005B22DF" w:rsidRDefault="005B22DF"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5B22DF">
              <w:rPr>
                <w:rFonts w:eastAsia="Times New Roman"/>
                <w:b/>
                <w:bCs/>
                <w:color w:val="000000"/>
                <w:sz w:val="18"/>
                <w:szCs w:val="18"/>
                <w:lang w:eastAsia="es-CO"/>
              </w:rPr>
              <w:t>Coberturas</w:t>
            </w:r>
          </w:p>
        </w:tc>
        <w:tc>
          <w:tcPr>
            <w:tcW w:w="788" w:type="pct"/>
            <w:vAlign w:val="center"/>
            <w:hideMark/>
          </w:tcPr>
          <w:p w:rsidR="005B22DF" w:rsidRPr="005B22DF" w:rsidRDefault="005B22DF"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es-CO"/>
              </w:rPr>
            </w:pPr>
            <w:r w:rsidRPr="005B22DF">
              <w:rPr>
                <w:rFonts w:eastAsia="Times New Roman"/>
                <w:b/>
                <w:bCs/>
                <w:sz w:val="18"/>
                <w:szCs w:val="18"/>
                <w:lang w:eastAsia="es-CO"/>
              </w:rPr>
              <w:t>Bosque abierto</w:t>
            </w:r>
          </w:p>
        </w:tc>
        <w:tc>
          <w:tcPr>
            <w:tcW w:w="872" w:type="pct"/>
            <w:vAlign w:val="center"/>
            <w:hideMark/>
          </w:tcPr>
          <w:p w:rsidR="005B22DF" w:rsidRPr="005B22DF" w:rsidRDefault="005B22DF"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es-CO"/>
              </w:rPr>
            </w:pPr>
            <w:r w:rsidRPr="005B22DF">
              <w:rPr>
                <w:rFonts w:eastAsia="Times New Roman"/>
                <w:b/>
                <w:bCs/>
                <w:sz w:val="18"/>
                <w:szCs w:val="18"/>
                <w:lang w:eastAsia="es-CO"/>
              </w:rPr>
              <w:t>Bosque de galería y/o ripario</w:t>
            </w:r>
          </w:p>
        </w:tc>
        <w:tc>
          <w:tcPr>
            <w:tcW w:w="923" w:type="pct"/>
            <w:vAlign w:val="center"/>
            <w:hideMark/>
          </w:tcPr>
          <w:p w:rsidR="005B22DF" w:rsidRPr="005B22DF" w:rsidRDefault="005B22DF"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es-CO"/>
              </w:rPr>
            </w:pPr>
            <w:r w:rsidRPr="005B22DF">
              <w:rPr>
                <w:rFonts w:eastAsia="Times New Roman"/>
                <w:b/>
                <w:bCs/>
                <w:sz w:val="18"/>
                <w:szCs w:val="18"/>
                <w:lang w:eastAsia="es-CO"/>
              </w:rPr>
              <w:t>Vegetación secundaria o en transición</w:t>
            </w:r>
          </w:p>
        </w:tc>
      </w:tr>
      <w:tr w:rsidR="005B22DF" w:rsidRPr="005B22DF" w:rsidTr="00A243FB">
        <w:trPr>
          <w:trHeight w:val="20"/>
        </w:trPr>
        <w:tc>
          <w:tcPr>
            <w:cnfStyle w:val="001000000000" w:firstRow="0" w:lastRow="0" w:firstColumn="1" w:lastColumn="0" w:oddVBand="0" w:evenVBand="0" w:oddHBand="0" w:evenHBand="0" w:firstRowFirstColumn="0" w:firstRowLastColumn="0" w:lastRowFirstColumn="0" w:lastRowLastColumn="0"/>
            <w:tcW w:w="1616" w:type="pct"/>
            <w:vMerge/>
            <w:tcBorders>
              <w:left w:val="none" w:sz="0" w:space="0" w:color="auto"/>
            </w:tcBorders>
            <w:vAlign w:val="center"/>
            <w:hideMark/>
          </w:tcPr>
          <w:p w:rsidR="005B22DF" w:rsidRPr="005B22DF" w:rsidRDefault="005B22DF" w:rsidP="00A243FB">
            <w:pPr>
              <w:spacing w:line="240" w:lineRule="auto"/>
              <w:contextualSpacing w:val="0"/>
              <w:jc w:val="center"/>
              <w:rPr>
                <w:rFonts w:eastAsia="Times New Roman"/>
                <w:color w:val="000000"/>
                <w:sz w:val="18"/>
                <w:szCs w:val="18"/>
                <w:lang w:eastAsia="es-CO"/>
              </w:rPr>
            </w:pPr>
          </w:p>
        </w:tc>
        <w:tc>
          <w:tcPr>
            <w:tcW w:w="801" w:type="pct"/>
            <w:vAlign w:val="center"/>
            <w:hideMark/>
          </w:tcPr>
          <w:p w:rsidR="005B22DF" w:rsidRPr="005B22DF" w:rsidRDefault="005B22DF"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5B22DF">
              <w:rPr>
                <w:rFonts w:eastAsia="Times New Roman"/>
                <w:b/>
                <w:bCs/>
                <w:color w:val="000000"/>
                <w:sz w:val="18"/>
                <w:szCs w:val="18"/>
                <w:lang w:eastAsia="es-CO"/>
              </w:rPr>
              <w:t>Uso Actual</w:t>
            </w:r>
          </w:p>
        </w:tc>
        <w:tc>
          <w:tcPr>
            <w:tcW w:w="788" w:type="pct"/>
            <w:noWrap/>
            <w:vAlign w:val="center"/>
            <w:hideMark/>
          </w:tcPr>
          <w:p w:rsidR="005B22DF" w:rsidRPr="005B22DF" w:rsidRDefault="005B22DF"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B22DF">
              <w:rPr>
                <w:rFonts w:eastAsia="Times New Roman"/>
                <w:color w:val="000000"/>
                <w:sz w:val="18"/>
                <w:szCs w:val="18"/>
                <w:lang w:eastAsia="es-CO"/>
              </w:rPr>
              <w:t>Conservación</w:t>
            </w:r>
          </w:p>
        </w:tc>
        <w:tc>
          <w:tcPr>
            <w:tcW w:w="872" w:type="pct"/>
            <w:noWrap/>
            <w:vAlign w:val="center"/>
            <w:hideMark/>
          </w:tcPr>
          <w:p w:rsidR="005B22DF" w:rsidRPr="005B22DF" w:rsidRDefault="005B22DF"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B22DF">
              <w:rPr>
                <w:rFonts w:eastAsia="Times New Roman"/>
                <w:color w:val="000000"/>
                <w:sz w:val="18"/>
                <w:szCs w:val="18"/>
                <w:lang w:eastAsia="es-CO"/>
              </w:rPr>
              <w:t>Conservación</w:t>
            </w:r>
          </w:p>
        </w:tc>
        <w:tc>
          <w:tcPr>
            <w:tcW w:w="923" w:type="pct"/>
            <w:noWrap/>
            <w:vAlign w:val="center"/>
            <w:hideMark/>
          </w:tcPr>
          <w:p w:rsidR="005B22DF" w:rsidRPr="005B22DF" w:rsidRDefault="005B22DF"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B22DF">
              <w:rPr>
                <w:rFonts w:eastAsia="Times New Roman"/>
                <w:color w:val="000000"/>
                <w:sz w:val="18"/>
                <w:szCs w:val="18"/>
                <w:lang w:eastAsia="es-CO"/>
              </w:rPr>
              <w:t>Conservación</w:t>
            </w:r>
          </w:p>
        </w:tc>
      </w:tr>
      <w:tr w:rsidR="005B22DF" w:rsidRPr="005B22DF" w:rsidTr="00A243FB">
        <w:trPr>
          <w:trHeight w:val="20"/>
        </w:trPr>
        <w:tc>
          <w:tcPr>
            <w:cnfStyle w:val="001000000000" w:firstRow="0" w:lastRow="0" w:firstColumn="1" w:lastColumn="0" w:oddVBand="0" w:evenVBand="0" w:oddHBand="0" w:evenHBand="0" w:firstRowFirstColumn="0" w:firstRowLastColumn="0" w:lastRowFirstColumn="0" w:lastRowLastColumn="0"/>
            <w:tcW w:w="1616" w:type="pct"/>
            <w:vMerge/>
            <w:tcBorders>
              <w:left w:val="none" w:sz="0" w:space="0" w:color="auto"/>
            </w:tcBorders>
            <w:vAlign w:val="center"/>
            <w:hideMark/>
          </w:tcPr>
          <w:p w:rsidR="005B22DF" w:rsidRPr="005B22DF" w:rsidRDefault="005B22DF" w:rsidP="00A243FB">
            <w:pPr>
              <w:spacing w:line="240" w:lineRule="auto"/>
              <w:contextualSpacing w:val="0"/>
              <w:jc w:val="center"/>
              <w:rPr>
                <w:rFonts w:eastAsia="Times New Roman"/>
                <w:color w:val="000000"/>
                <w:sz w:val="18"/>
                <w:szCs w:val="18"/>
                <w:lang w:eastAsia="es-CO"/>
              </w:rPr>
            </w:pPr>
          </w:p>
        </w:tc>
        <w:tc>
          <w:tcPr>
            <w:tcW w:w="801" w:type="pct"/>
            <w:vAlign w:val="center"/>
            <w:hideMark/>
          </w:tcPr>
          <w:p w:rsidR="005B22DF" w:rsidRPr="005B22DF" w:rsidRDefault="005B22DF"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5B22DF">
              <w:rPr>
                <w:rFonts w:eastAsia="Times New Roman"/>
                <w:b/>
                <w:bCs/>
                <w:color w:val="000000"/>
                <w:sz w:val="18"/>
                <w:szCs w:val="18"/>
                <w:lang w:eastAsia="es-CO"/>
              </w:rPr>
              <w:t>Área (has)*</w:t>
            </w:r>
          </w:p>
        </w:tc>
        <w:tc>
          <w:tcPr>
            <w:tcW w:w="788" w:type="pct"/>
            <w:vAlign w:val="center"/>
            <w:hideMark/>
          </w:tcPr>
          <w:p w:rsidR="005B22DF" w:rsidRPr="005B22DF" w:rsidRDefault="005B22DF"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B22DF">
              <w:rPr>
                <w:rFonts w:eastAsia="Times New Roman"/>
                <w:color w:val="000000"/>
                <w:sz w:val="18"/>
                <w:szCs w:val="18"/>
                <w:lang w:eastAsia="es-CO"/>
              </w:rPr>
              <w:t>0,70</w:t>
            </w:r>
          </w:p>
        </w:tc>
        <w:tc>
          <w:tcPr>
            <w:tcW w:w="872" w:type="pct"/>
            <w:vAlign w:val="center"/>
            <w:hideMark/>
          </w:tcPr>
          <w:p w:rsidR="005B22DF" w:rsidRPr="005B22DF" w:rsidRDefault="005B22DF"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B22DF">
              <w:rPr>
                <w:rFonts w:eastAsia="Times New Roman"/>
                <w:color w:val="000000"/>
                <w:sz w:val="18"/>
                <w:szCs w:val="18"/>
                <w:lang w:eastAsia="es-CO"/>
              </w:rPr>
              <w:t>2,33</w:t>
            </w:r>
          </w:p>
        </w:tc>
        <w:tc>
          <w:tcPr>
            <w:tcW w:w="923" w:type="pct"/>
            <w:vAlign w:val="center"/>
            <w:hideMark/>
          </w:tcPr>
          <w:p w:rsidR="005B22DF" w:rsidRPr="005B22DF" w:rsidRDefault="005B22DF"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B22DF">
              <w:rPr>
                <w:rFonts w:eastAsia="Times New Roman"/>
                <w:color w:val="000000"/>
                <w:sz w:val="18"/>
                <w:szCs w:val="18"/>
                <w:lang w:eastAsia="es-CO"/>
              </w:rPr>
              <w:t>2,95</w:t>
            </w:r>
          </w:p>
        </w:tc>
      </w:tr>
      <w:tr w:rsidR="005B22DF" w:rsidRPr="005B22DF" w:rsidTr="00A243FB">
        <w:trPr>
          <w:trHeight w:val="20"/>
        </w:trPr>
        <w:tc>
          <w:tcPr>
            <w:cnfStyle w:val="001000000000" w:firstRow="0" w:lastRow="0" w:firstColumn="1" w:lastColumn="0" w:oddVBand="0" w:evenVBand="0" w:oddHBand="0" w:evenHBand="0" w:firstRowFirstColumn="0" w:firstRowLastColumn="0" w:lastRowFirstColumn="0" w:lastRowLastColumn="0"/>
            <w:tcW w:w="1616" w:type="pct"/>
            <w:vMerge/>
            <w:tcBorders>
              <w:left w:val="none" w:sz="0" w:space="0" w:color="auto"/>
            </w:tcBorders>
            <w:vAlign w:val="center"/>
            <w:hideMark/>
          </w:tcPr>
          <w:p w:rsidR="005B22DF" w:rsidRPr="005B22DF" w:rsidRDefault="005B22DF" w:rsidP="00A243FB">
            <w:pPr>
              <w:spacing w:line="240" w:lineRule="auto"/>
              <w:contextualSpacing w:val="0"/>
              <w:jc w:val="center"/>
              <w:rPr>
                <w:rFonts w:eastAsia="Times New Roman"/>
                <w:color w:val="000000"/>
                <w:sz w:val="18"/>
                <w:szCs w:val="18"/>
                <w:lang w:eastAsia="es-CO"/>
              </w:rPr>
            </w:pPr>
          </w:p>
        </w:tc>
        <w:tc>
          <w:tcPr>
            <w:tcW w:w="801" w:type="pct"/>
            <w:vAlign w:val="center"/>
            <w:hideMark/>
          </w:tcPr>
          <w:p w:rsidR="005B22DF" w:rsidRPr="005B22DF" w:rsidRDefault="005B22DF"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5B22DF">
              <w:rPr>
                <w:rFonts w:eastAsia="Times New Roman"/>
                <w:b/>
                <w:bCs/>
                <w:color w:val="000000"/>
                <w:sz w:val="18"/>
                <w:szCs w:val="18"/>
                <w:lang w:eastAsia="es-CO"/>
              </w:rPr>
              <w:t>%*</w:t>
            </w:r>
          </w:p>
        </w:tc>
        <w:tc>
          <w:tcPr>
            <w:tcW w:w="788" w:type="pct"/>
            <w:noWrap/>
            <w:vAlign w:val="center"/>
            <w:hideMark/>
          </w:tcPr>
          <w:p w:rsidR="005B22DF" w:rsidRPr="005B22DF" w:rsidRDefault="005B22DF"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B22DF">
              <w:rPr>
                <w:rFonts w:eastAsia="Times New Roman"/>
                <w:color w:val="000000"/>
                <w:sz w:val="18"/>
                <w:szCs w:val="18"/>
                <w:lang w:eastAsia="es-CO"/>
              </w:rPr>
              <w:t>0,82</w:t>
            </w:r>
          </w:p>
        </w:tc>
        <w:tc>
          <w:tcPr>
            <w:tcW w:w="872" w:type="pct"/>
            <w:noWrap/>
            <w:vAlign w:val="center"/>
            <w:hideMark/>
          </w:tcPr>
          <w:p w:rsidR="005B22DF" w:rsidRPr="005B22DF" w:rsidRDefault="005B22DF"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B22DF">
              <w:rPr>
                <w:rFonts w:eastAsia="Times New Roman"/>
                <w:color w:val="000000"/>
                <w:sz w:val="18"/>
                <w:szCs w:val="18"/>
                <w:lang w:eastAsia="es-CO"/>
              </w:rPr>
              <w:t>2,73</w:t>
            </w:r>
          </w:p>
        </w:tc>
        <w:tc>
          <w:tcPr>
            <w:tcW w:w="923" w:type="pct"/>
            <w:noWrap/>
            <w:vAlign w:val="center"/>
            <w:hideMark/>
          </w:tcPr>
          <w:p w:rsidR="005B22DF" w:rsidRPr="005B22DF" w:rsidRDefault="005B22DF"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B22DF">
              <w:rPr>
                <w:rFonts w:eastAsia="Times New Roman"/>
                <w:color w:val="000000"/>
                <w:sz w:val="18"/>
                <w:szCs w:val="18"/>
                <w:lang w:eastAsia="es-CO"/>
              </w:rPr>
              <w:t>3,45</w:t>
            </w:r>
          </w:p>
        </w:tc>
      </w:tr>
      <w:tr w:rsidR="005B22DF" w:rsidRPr="005B22DF" w:rsidTr="00A243FB">
        <w:trPr>
          <w:trHeight w:val="20"/>
        </w:trPr>
        <w:tc>
          <w:tcPr>
            <w:cnfStyle w:val="001000000000" w:firstRow="0" w:lastRow="0" w:firstColumn="1" w:lastColumn="0" w:oddVBand="0" w:evenVBand="0" w:oddHBand="0" w:evenHBand="0" w:firstRowFirstColumn="0" w:firstRowLastColumn="0" w:lastRowFirstColumn="0" w:lastRowLastColumn="0"/>
            <w:tcW w:w="1616" w:type="pct"/>
            <w:vMerge/>
            <w:tcBorders>
              <w:left w:val="none" w:sz="0" w:space="0" w:color="auto"/>
            </w:tcBorders>
            <w:vAlign w:val="center"/>
            <w:hideMark/>
          </w:tcPr>
          <w:p w:rsidR="005B22DF" w:rsidRPr="005B22DF" w:rsidRDefault="005B22DF" w:rsidP="00A243FB">
            <w:pPr>
              <w:spacing w:line="240" w:lineRule="auto"/>
              <w:contextualSpacing w:val="0"/>
              <w:jc w:val="center"/>
              <w:rPr>
                <w:rFonts w:eastAsia="Times New Roman"/>
                <w:color w:val="000000"/>
                <w:sz w:val="18"/>
                <w:szCs w:val="18"/>
                <w:lang w:eastAsia="es-CO"/>
              </w:rPr>
            </w:pPr>
          </w:p>
        </w:tc>
        <w:tc>
          <w:tcPr>
            <w:tcW w:w="801" w:type="pct"/>
            <w:vAlign w:val="center"/>
            <w:hideMark/>
          </w:tcPr>
          <w:p w:rsidR="005B22DF" w:rsidRPr="005B22DF" w:rsidRDefault="005B22DF"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5B22DF">
              <w:rPr>
                <w:rFonts w:eastAsia="Times New Roman"/>
                <w:b/>
                <w:bCs/>
                <w:color w:val="000000"/>
                <w:sz w:val="18"/>
                <w:szCs w:val="18"/>
                <w:lang w:eastAsia="es-CO"/>
              </w:rPr>
              <w:t>Área Total (ha)*</w:t>
            </w:r>
          </w:p>
        </w:tc>
        <w:tc>
          <w:tcPr>
            <w:tcW w:w="2583" w:type="pct"/>
            <w:gridSpan w:val="3"/>
            <w:noWrap/>
            <w:vAlign w:val="center"/>
            <w:hideMark/>
          </w:tcPr>
          <w:p w:rsidR="005B22DF" w:rsidRPr="005B22DF" w:rsidRDefault="005B22DF"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5B22DF">
              <w:rPr>
                <w:rFonts w:eastAsia="Times New Roman"/>
                <w:b/>
                <w:bCs/>
                <w:color w:val="000000"/>
                <w:sz w:val="18"/>
                <w:szCs w:val="18"/>
                <w:lang w:eastAsia="es-CO"/>
              </w:rPr>
              <w:t>85,45</w:t>
            </w:r>
          </w:p>
        </w:tc>
      </w:tr>
    </w:tbl>
    <w:p w:rsidR="005B22DF" w:rsidRPr="00AA0A2C" w:rsidRDefault="008F3A5D" w:rsidP="00A243FB">
      <w:pPr>
        <w:pStyle w:val="Notas"/>
      </w:pPr>
      <w:r>
        <w:t xml:space="preserve">Fuente </w:t>
      </w:r>
      <w:r w:rsidRPr="00AA0A2C">
        <w:t>Autopista</w:t>
      </w:r>
      <w:r w:rsidR="005B22DF" w:rsidRPr="00AA0A2C">
        <w:t xml:space="preserve"> Rio Magdalena S.A.S., 2016.</w:t>
      </w:r>
    </w:p>
    <w:p w:rsidR="00AA0A2C" w:rsidRPr="00AA0A2C" w:rsidRDefault="005B22DF" w:rsidP="00AA0A2C">
      <w:pPr>
        <w:rPr>
          <w:rFonts w:asciiTheme="majorHAnsi" w:hAnsiTheme="majorHAnsi" w:cs="Arial"/>
        </w:rPr>
      </w:pPr>
      <w:r w:rsidRPr="005B22DF">
        <w:rPr>
          <w:rFonts w:asciiTheme="majorHAnsi" w:hAnsiTheme="majorHAnsi"/>
          <w:sz w:val="18"/>
        </w:rPr>
        <w:t>*: Extraído de la Tabla de Cobertura Vegetal.</w:t>
      </w:r>
      <w:r w:rsidRPr="005B22DF">
        <w:rPr>
          <w:rFonts w:asciiTheme="majorHAnsi" w:hAnsiTheme="majorHAnsi"/>
          <w:sz w:val="18"/>
        </w:rPr>
        <w:tab/>
      </w:r>
      <w:r w:rsidRPr="005B22DF">
        <w:rPr>
          <w:rFonts w:asciiTheme="majorHAnsi" w:hAnsiTheme="majorHAnsi" w:cs="Arial"/>
        </w:rPr>
        <w:tab/>
      </w:r>
      <w:r w:rsidRPr="005B22DF">
        <w:rPr>
          <w:rFonts w:asciiTheme="majorHAnsi" w:hAnsiTheme="majorHAnsi" w:cs="Arial"/>
        </w:rPr>
        <w:tab/>
      </w:r>
      <w:r w:rsidRPr="005B22DF">
        <w:rPr>
          <w:rFonts w:asciiTheme="majorHAnsi" w:hAnsiTheme="majorHAnsi" w:cs="Arial"/>
        </w:rPr>
        <w:tab/>
      </w:r>
    </w:p>
    <w:p w:rsidR="005B22DF" w:rsidRDefault="005B22DF" w:rsidP="00AA0A2C">
      <w:pPr>
        <w:rPr>
          <w:rFonts w:asciiTheme="majorHAnsi" w:hAnsiTheme="majorHAnsi" w:cs="Arial"/>
        </w:rPr>
      </w:pPr>
    </w:p>
    <w:p w:rsidR="00AA0A2C" w:rsidRPr="00AA0A2C" w:rsidRDefault="00AA0A2C" w:rsidP="00AA0A2C">
      <w:pPr>
        <w:rPr>
          <w:rFonts w:asciiTheme="majorHAnsi" w:hAnsiTheme="majorHAnsi" w:cs="Arial"/>
        </w:rPr>
      </w:pPr>
      <w:r w:rsidRPr="00AA0A2C">
        <w:rPr>
          <w:rFonts w:asciiTheme="majorHAnsi" w:hAnsiTheme="majorHAnsi" w:cs="Arial"/>
        </w:rPr>
        <w:t xml:space="preserve">El valor económico total del impacto por disminución de cobertura vegetal, se asocia con la valoración de los bienes y servicios que ofrece este recurso, y que se pueden clasificar como de uso directo e indirecto. Uno de los usos directos es el maderable y su valoración está asociada al valor comercial de la madera. Los valores de uso indirecto corresponden </w:t>
      </w:r>
      <w:r w:rsidR="005B22DF" w:rsidRPr="00AA0A2C">
        <w:rPr>
          <w:rFonts w:asciiTheme="majorHAnsi" w:hAnsiTheme="majorHAnsi" w:cs="Arial"/>
        </w:rPr>
        <w:t>a la provisión</w:t>
      </w:r>
      <w:r w:rsidRPr="00AA0A2C">
        <w:rPr>
          <w:rFonts w:asciiTheme="majorHAnsi" w:hAnsiTheme="majorHAnsi" w:cs="Arial"/>
        </w:rPr>
        <w:t xml:space="preserve"> de servicios de protección de suelos, regulación del flujo hídrico y captura de CO</w:t>
      </w:r>
      <w:r w:rsidRPr="00AA0A2C">
        <w:rPr>
          <w:rFonts w:asciiTheme="majorHAnsi" w:hAnsiTheme="majorHAnsi" w:cs="Arial"/>
          <w:vertAlign w:val="subscript"/>
        </w:rPr>
        <w:t>2</w:t>
      </w:r>
      <w:r w:rsidRPr="00AA0A2C">
        <w:rPr>
          <w:rFonts w:asciiTheme="majorHAnsi" w:hAnsiTheme="majorHAnsi" w:cs="Arial"/>
        </w:rPr>
        <w:t>.</w:t>
      </w:r>
    </w:p>
    <w:p w:rsidR="00AA0A2C" w:rsidRPr="00AA0A2C" w:rsidRDefault="00AA0A2C" w:rsidP="00AA0A2C">
      <w:pPr>
        <w:rPr>
          <w:rFonts w:asciiTheme="majorHAnsi" w:hAnsiTheme="majorHAnsi" w:cs="Arial"/>
        </w:rPr>
      </w:pPr>
    </w:p>
    <w:p w:rsidR="00AA0A2C" w:rsidRPr="00AA0A2C" w:rsidRDefault="00AA0A2C" w:rsidP="00AA0A2C">
      <w:pPr>
        <w:rPr>
          <w:rFonts w:asciiTheme="majorHAnsi" w:hAnsiTheme="majorHAnsi" w:cs="Arial"/>
          <w:b/>
        </w:rPr>
      </w:pPr>
      <w:r w:rsidRPr="00AA0A2C">
        <w:rPr>
          <w:rFonts w:asciiTheme="majorHAnsi" w:hAnsiTheme="majorHAnsi" w:cs="Arial"/>
          <w:b/>
        </w:rPr>
        <w:t>Valoración de los Impactos No Internalizables</w:t>
      </w:r>
    </w:p>
    <w:p w:rsidR="00AA0A2C" w:rsidRPr="00AA0A2C" w:rsidRDefault="00AA0A2C" w:rsidP="00AA0A2C">
      <w:pPr>
        <w:rPr>
          <w:rFonts w:asciiTheme="majorHAnsi" w:hAnsiTheme="majorHAnsi" w:cs="Arial"/>
        </w:rPr>
      </w:pPr>
    </w:p>
    <w:p w:rsidR="00AA0A2C" w:rsidRPr="00AA0A2C" w:rsidRDefault="00AA0A2C" w:rsidP="00AA0A2C">
      <w:pPr>
        <w:rPr>
          <w:rFonts w:asciiTheme="majorHAnsi" w:hAnsiTheme="majorHAnsi" w:cs="Arial"/>
          <w:b/>
        </w:rPr>
      </w:pPr>
      <w:r w:rsidRPr="00AA0A2C">
        <w:rPr>
          <w:rFonts w:asciiTheme="majorHAnsi" w:hAnsiTheme="majorHAnsi" w:cs="Arial"/>
        </w:rPr>
        <w:t>En cuanto a los impactos no internalizables la valoración se realizó a través de una metodología de transferencia de función para medir los beneficios que generan los bosques aplicados al Programa SINA I y que en este caso su lectura inversa permite contabilizar la pérdida de estos beneficios, y por tanto las cifras reflejan los costos ambientales. Como consecuencia de la ejecución del proyecto, las áreas de bosque afectadas por tramo corresponden a las presentadas en la anterior Tabla.</w:t>
      </w:r>
    </w:p>
    <w:p w:rsidR="00AA0A2C" w:rsidRPr="00AA0A2C" w:rsidRDefault="00AA0A2C" w:rsidP="00AA0A2C">
      <w:pPr>
        <w:rPr>
          <w:rFonts w:asciiTheme="majorHAnsi" w:hAnsiTheme="majorHAnsi" w:cs="Arial"/>
        </w:rPr>
      </w:pPr>
    </w:p>
    <w:p w:rsidR="00AA0A2C" w:rsidRPr="00AA0A2C" w:rsidRDefault="00AA0A2C" w:rsidP="00AA0A2C">
      <w:pPr>
        <w:rPr>
          <w:rFonts w:asciiTheme="majorHAnsi" w:hAnsiTheme="majorHAnsi" w:cs="Arial"/>
        </w:rPr>
      </w:pPr>
      <w:r w:rsidRPr="00AA0A2C">
        <w:rPr>
          <w:rFonts w:asciiTheme="majorHAnsi" w:hAnsiTheme="majorHAnsi" w:cs="Arial"/>
        </w:rPr>
        <w:t>Para la medición de los costos ambientales se valoran los servicios ambientales que prestan las coberturas boscosas tales como: alteración en el régimen de escorrentía, alteración del régimen de retención de sedimentos, disminución en la capacidad de captura de CO</w:t>
      </w:r>
      <w:r w:rsidRPr="00AA0A2C">
        <w:rPr>
          <w:rFonts w:asciiTheme="majorHAnsi" w:hAnsiTheme="majorHAnsi" w:cs="Arial"/>
          <w:vertAlign w:val="subscript"/>
        </w:rPr>
        <w:t>2</w:t>
      </w:r>
      <w:r w:rsidRPr="00AA0A2C">
        <w:rPr>
          <w:rFonts w:asciiTheme="majorHAnsi" w:hAnsiTheme="majorHAnsi" w:cs="Arial"/>
        </w:rPr>
        <w:t>, producción de madera y leña con valor comercial o de uso doméstico. La pérdida de estos servicios ambientales representa parte de los costos ambientales del proyecto.</w:t>
      </w:r>
    </w:p>
    <w:p w:rsidR="00AA0A2C" w:rsidRPr="00AA0A2C" w:rsidRDefault="00AA0A2C" w:rsidP="00AA0A2C">
      <w:pPr>
        <w:rPr>
          <w:rFonts w:asciiTheme="majorHAnsi" w:hAnsiTheme="majorHAnsi"/>
          <w:b/>
        </w:rPr>
      </w:pPr>
    </w:p>
    <w:p w:rsidR="00AA0A2C" w:rsidRPr="00AA0A2C" w:rsidRDefault="00AA0A2C" w:rsidP="00AA0A2C">
      <w:pPr>
        <w:rPr>
          <w:rFonts w:asciiTheme="majorHAnsi" w:hAnsiTheme="majorHAnsi" w:cs="Arial"/>
        </w:rPr>
      </w:pPr>
      <w:r w:rsidRPr="00AA0A2C">
        <w:rPr>
          <w:rFonts w:asciiTheme="majorHAnsi" w:hAnsiTheme="majorHAnsi"/>
          <w:b/>
        </w:rPr>
        <w:t xml:space="preserve">Valoración por alteración en el régimen de escorrentía  </w:t>
      </w:r>
    </w:p>
    <w:p w:rsidR="00AA0A2C" w:rsidRPr="00AA0A2C" w:rsidRDefault="00AA0A2C" w:rsidP="00AA0A2C">
      <w:pPr>
        <w:rPr>
          <w:rFonts w:asciiTheme="majorHAnsi" w:hAnsiTheme="majorHAnsi" w:cs="Arial"/>
        </w:rPr>
      </w:pPr>
    </w:p>
    <w:p w:rsidR="00AA0A2C" w:rsidRPr="00AA0A2C" w:rsidRDefault="00AA0A2C" w:rsidP="00AA0A2C">
      <w:pPr>
        <w:rPr>
          <w:rFonts w:asciiTheme="majorHAnsi" w:hAnsiTheme="majorHAnsi" w:cs="Arial"/>
        </w:rPr>
      </w:pPr>
      <w:r w:rsidRPr="00AA0A2C">
        <w:rPr>
          <w:rFonts w:asciiTheme="majorHAnsi" w:hAnsiTheme="majorHAnsi" w:cs="Arial"/>
        </w:rPr>
        <w:t>La cobertura vegetal permite regular la escorrentía de tal manera que evita la estacionalidad drástica del suministro de agua en fuentes utilizadas para acueductos y otros usos. La plantación forestal es un bien de capital natural y productivo que genera beneficios públicos locales o regionales (regulación hídrica, retención de sedimentos, control de inundaciones), globales (absorción de CO</w:t>
      </w:r>
      <w:r w:rsidRPr="00AA0A2C">
        <w:rPr>
          <w:rFonts w:asciiTheme="majorHAnsi" w:hAnsiTheme="majorHAnsi" w:cs="Arial"/>
          <w:vertAlign w:val="subscript"/>
        </w:rPr>
        <w:t>2</w:t>
      </w:r>
      <w:r w:rsidRPr="00AA0A2C">
        <w:rPr>
          <w:rFonts w:asciiTheme="majorHAnsi" w:hAnsiTheme="majorHAnsi" w:cs="Arial"/>
        </w:rPr>
        <w:t xml:space="preserve">) y privados (producción de madera, conservación de suelos para mejorar los rendimientos de cultivos). </w:t>
      </w:r>
    </w:p>
    <w:p w:rsidR="00074339" w:rsidRDefault="00074339" w:rsidP="00AA0A2C">
      <w:pPr>
        <w:rPr>
          <w:rFonts w:asciiTheme="majorHAnsi" w:hAnsiTheme="majorHAnsi" w:cs="Arial"/>
        </w:rPr>
      </w:pPr>
    </w:p>
    <w:p w:rsidR="00AA0A2C" w:rsidRPr="00AA0A2C" w:rsidRDefault="00AA0A2C" w:rsidP="00AA0A2C">
      <w:pPr>
        <w:rPr>
          <w:rFonts w:asciiTheme="majorHAnsi" w:hAnsiTheme="majorHAnsi" w:cs="Arial"/>
        </w:rPr>
      </w:pPr>
      <w:r w:rsidRPr="00AA0A2C">
        <w:rPr>
          <w:rFonts w:asciiTheme="majorHAnsi" w:hAnsiTheme="majorHAnsi" w:cs="Arial"/>
        </w:rPr>
        <w:t>Un área de plantación (comparada con un área desprotegida en una microcuenca)</w:t>
      </w:r>
      <w:r w:rsidRPr="00AA0A2C">
        <w:rPr>
          <w:rFonts w:asciiTheme="majorHAnsi" w:hAnsiTheme="majorHAnsi" w:cs="Arial"/>
          <w:vertAlign w:val="superscript"/>
        </w:rPr>
        <w:footnoteReference w:id="9"/>
      </w:r>
      <w:r w:rsidRPr="00AA0A2C">
        <w:rPr>
          <w:rFonts w:asciiTheme="majorHAnsi" w:hAnsiTheme="majorHAnsi" w:cs="Arial"/>
        </w:rPr>
        <w:t xml:space="preserve"> tiene una función reguladora de la escorrentía, mejora el almacenamiento de agua y reduce su velocidad de evacuación a un cauce natural. Al aumentar el caudal en el período seco y reducirlo en el lluvioso, se mejora la disponibilidad de agua para consumo humano, riego y otros usos. En una cuenca determinada hay una disponibilidad de agua superficial que depende del patrón de precipitación, el área de la cuenca (o área de afluencia a un punto determinado o “punto de entrega” (PE) y las “pérdidas” naturales a través de evaporación, evapotranspiración e infiltración.</w:t>
      </w:r>
      <w:r w:rsidRPr="00AA0A2C">
        <w:rPr>
          <w:rFonts w:asciiTheme="majorHAnsi" w:hAnsiTheme="majorHAnsi" w:cs="Arial"/>
          <w:vertAlign w:val="superscript"/>
        </w:rPr>
        <w:footnoteReference w:id="10"/>
      </w:r>
    </w:p>
    <w:p w:rsidR="00AA0A2C" w:rsidRPr="00AA0A2C" w:rsidRDefault="00AA0A2C" w:rsidP="00AA0A2C">
      <w:pPr>
        <w:rPr>
          <w:rFonts w:asciiTheme="majorHAnsi" w:hAnsiTheme="majorHAnsi" w:cs="Arial"/>
        </w:rPr>
      </w:pPr>
    </w:p>
    <w:p w:rsidR="00AA0A2C" w:rsidRPr="00AA0A2C" w:rsidRDefault="00AA0A2C" w:rsidP="00AA0A2C">
      <w:pPr>
        <w:rPr>
          <w:rFonts w:asciiTheme="majorHAnsi" w:hAnsiTheme="majorHAnsi" w:cs="Arial"/>
        </w:rPr>
      </w:pPr>
      <w:r w:rsidRPr="00AA0A2C">
        <w:rPr>
          <w:rFonts w:asciiTheme="majorHAnsi" w:hAnsiTheme="majorHAnsi" w:cs="Arial"/>
        </w:rPr>
        <w:t>Esta disponibilidad se traduce en oferta, cuando el recurso natural se convierte en insumo de una actividad económica y la cuenca se convierte en un bien de capital natural productivo. Este bien, que puede incluir, componentes naturales y obras de protección (plantaciones forestales, conservación de suelos), requiere mantenimiento con el fin de sostener su capacidad productiva, lo cual tiene un costo en términos principalmente de mano de obra del beneficiario y asistencia técnica de la corporación.</w:t>
      </w:r>
    </w:p>
    <w:p w:rsidR="00AA0A2C" w:rsidRPr="00AA0A2C" w:rsidRDefault="00AA0A2C" w:rsidP="00AA0A2C">
      <w:pPr>
        <w:rPr>
          <w:rFonts w:asciiTheme="majorHAnsi" w:hAnsiTheme="majorHAnsi" w:cs="Arial"/>
        </w:rPr>
      </w:pPr>
    </w:p>
    <w:p w:rsidR="00AA0A2C" w:rsidRPr="00AA0A2C" w:rsidRDefault="00AA0A2C" w:rsidP="00AA0A2C">
      <w:pPr>
        <w:rPr>
          <w:rFonts w:asciiTheme="majorHAnsi" w:hAnsiTheme="majorHAnsi" w:cs="Arial"/>
        </w:rPr>
      </w:pPr>
      <w:r w:rsidRPr="00AA0A2C">
        <w:rPr>
          <w:rFonts w:asciiTheme="majorHAnsi" w:hAnsiTheme="majorHAnsi" w:cs="Arial"/>
        </w:rPr>
        <w:t>La cantidad del recurso natural está disponible a una tasa natural y estocástica</w:t>
      </w:r>
      <w:r w:rsidRPr="00AA0A2C">
        <w:rPr>
          <w:rFonts w:asciiTheme="majorHAnsi" w:hAnsiTheme="majorHAnsi" w:cs="Arial"/>
          <w:vertAlign w:val="superscript"/>
        </w:rPr>
        <w:footnoteReference w:id="11"/>
      </w:r>
      <w:r w:rsidRPr="00AA0A2C">
        <w:rPr>
          <w:rFonts w:asciiTheme="majorHAnsi" w:hAnsiTheme="majorHAnsi" w:cs="Arial"/>
          <w:vertAlign w:val="superscript"/>
        </w:rPr>
        <w:t>,</w:t>
      </w:r>
      <w:r w:rsidRPr="00AA0A2C">
        <w:rPr>
          <w:rFonts w:asciiTheme="majorHAnsi" w:hAnsiTheme="majorHAnsi" w:cs="Arial"/>
        </w:rPr>
        <w:t xml:space="preserve"> concentrada durante el período lluvioso del año y muy baja en el período seco, mientras que la cantidad de agua como bien económico se requiere entregar a una tasa preferiblemente constante durante el año. </w:t>
      </w:r>
    </w:p>
    <w:p w:rsidR="00AA0A2C" w:rsidRPr="00AA0A2C" w:rsidRDefault="00AA0A2C" w:rsidP="00AA0A2C">
      <w:pPr>
        <w:rPr>
          <w:rFonts w:asciiTheme="majorHAnsi" w:hAnsiTheme="majorHAnsi" w:cs="Arial"/>
        </w:rPr>
      </w:pPr>
    </w:p>
    <w:p w:rsidR="00AA0A2C" w:rsidRPr="00AA0A2C" w:rsidRDefault="00AA0A2C" w:rsidP="00AA0A2C">
      <w:pPr>
        <w:rPr>
          <w:rFonts w:asciiTheme="majorHAnsi" w:hAnsiTheme="majorHAnsi" w:cs="Arial"/>
        </w:rPr>
      </w:pPr>
      <w:r w:rsidRPr="00AA0A2C">
        <w:rPr>
          <w:rFonts w:asciiTheme="majorHAnsi" w:hAnsiTheme="majorHAnsi" w:cs="Arial"/>
        </w:rPr>
        <w:t>Convertir el primer patrón en el segundo puede ser costoso en términos de obras de regulación, almacenamiento (embalses) y mantenimiento. Bajo este concepto, la medida pertinente para la cantidad de agua disponible en el PE no es, entonces, un volumen o caudal sino una distribución de caudales o un volumen de agua distribuido durante el ciclo hidrológico anual.</w:t>
      </w:r>
    </w:p>
    <w:p w:rsidR="00AA0A2C" w:rsidRPr="00AA0A2C" w:rsidRDefault="00AA0A2C" w:rsidP="00AA0A2C">
      <w:pPr>
        <w:rPr>
          <w:rFonts w:asciiTheme="majorHAnsi" w:hAnsiTheme="majorHAnsi"/>
        </w:rPr>
      </w:pPr>
    </w:p>
    <w:p w:rsidR="00AA0A2C" w:rsidRPr="00AA0A2C" w:rsidRDefault="00AA0A2C" w:rsidP="00AA0A2C">
      <w:pPr>
        <w:rPr>
          <w:rFonts w:asciiTheme="majorHAnsi" w:hAnsiTheme="majorHAnsi" w:cs="Arial"/>
          <w:lang w:val="es-MX"/>
        </w:rPr>
      </w:pPr>
      <w:r w:rsidRPr="00AA0A2C">
        <w:rPr>
          <w:rFonts w:asciiTheme="majorHAnsi" w:hAnsiTheme="majorHAnsi" w:cs="Arial"/>
          <w:lang w:val="es-MX"/>
        </w:rPr>
        <w:t xml:space="preserve">De acuerdo con lo anterior, se establecieron los siguientes criterios: </w:t>
      </w:r>
    </w:p>
    <w:p w:rsidR="00AA0A2C" w:rsidRPr="00AA0A2C" w:rsidRDefault="00AA0A2C" w:rsidP="00AA0A2C">
      <w:pPr>
        <w:rPr>
          <w:rFonts w:asciiTheme="majorHAnsi" w:hAnsiTheme="majorHAnsi" w:cs="Arial"/>
          <w:lang w:val="es-MX"/>
        </w:rPr>
      </w:pPr>
    </w:p>
    <w:p w:rsidR="00AA0A2C" w:rsidRPr="00AA0A2C" w:rsidRDefault="00AA0A2C" w:rsidP="00CD7283">
      <w:pPr>
        <w:pStyle w:val="Prrafodelista"/>
        <w:numPr>
          <w:ilvl w:val="0"/>
          <w:numId w:val="22"/>
        </w:numPr>
        <w:spacing w:line="240" w:lineRule="auto"/>
        <w:ind w:left="426" w:hanging="426"/>
        <w:rPr>
          <w:rFonts w:asciiTheme="majorHAnsi" w:hAnsiTheme="majorHAnsi" w:cs="Arial"/>
          <w:lang w:val="es-MX"/>
        </w:rPr>
      </w:pPr>
      <w:r w:rsidRPr="00AA0A2C">
        <w:rPr>
          <w:rFonts w:asciiTheme="majorHAnsi" w:hAnsiTheme="majorHAnsi" w:cs="Arial"/>
          <w:lang w:val="es-MX"/>
        </w:rPr>
        <w:t xml:space="preserve">Una hectárea que recibe, determinados mm/año de precipitación puede aportar una fracción de esta (en </w:t>
      </w:r>
      <w:r w:rsidRPr="00AA0A2C">
        <w:rPr>
          <w:rFonts w:asciiTheme="majorHAnsi" w:hAnsiTheme="majorHAnsi" w:cs="Arial"/>
        </w:rPr>
        <w:t>m</w:t>
      </w:r>
      <w:r w:rsidRPr="00AA0A2C">
        <w:rPr>
          <w:rFonts w:asciiTheme="majorHAnsi" w:hAnsiTheme="majorHAnsi" w:cs="Arial"/>
          <w:vertAlign w:val="superscript"/>
        </w:rPr>
        <w:t>3</w:t>
      </w:r>
      <w:r w:rsidRPr="00AA0A2C">
        <w:rPr>
          <w:rFonts w:asciiTheme="majorHAnsi" w:hAnsiTheme="majorHAnsi" w:cs="Arial"/>
          <w:lang w:val="es-MX"/>
        </w:rPr>
        <w:t>) durante tres meses secos del año. El valor de este volumen de agua es el beneficio del proyecto, que se dejaría de percibir y por tanto se constituye en un costo ambiental.</w:t>
      </w:r>
    </w:p>
    <w:p w:rsidR="00AA0A2C" w:rsidRPr="00AA0A2C" w:rsidRDefault="00AA0A2C" w:rsidP="00CD7283">
      <w:pPr>
        <w:pStyle w:val="Prrafodelista"/>
        <w:numPr>
          <w:ilvl w:val="0"/>
          <w:numId w:val="22"/>
        </w:numPr>
        <w:spacing w:line="240" w:lineRule="auto"/>
        <w:ind w:left="426"/>
        <w:rPr>
          <w:rFonts w:asciiTheme="majorHAnsi" w:hAnsiTheme="majorHAnsi" w:cs="Arial"/>
          <w:lang w:val="es-MX"/>
        </w:rPr>
      </w:pPr>
      <w:r w:rsidRPr="00AA0A2C">
        <w:rPr>
          <w:rFonts w:asciiTheme="majorHAnsi" w:hAnsiTheme="majorHAnsi" w:cs="Arial"/>
        </w:rPr>
        <w:t xml:space="preserve">Precipitación promedio anual de </w:t>
      </w:r>
      <w:r w:rsidR="005B22DF">
        <w:rPr>
          <w:rFonts w:asciiTheme="majorHAnsi" w:hAnsiTheme="majorHAnsi" w:cs="Arial"/>
        </w:rPr>
        <w:t>2.6</w:t>
      </w:r>
      <w:r w:rsidRPr="00AA0A2C">
        <w:rPr>
          <w:rFonts w:asciiTheme="majorHAnsi" w:hAnsiTheme="majorHAnsi" w:cs="Arial"/>
        </w:rPr>
        <w:t xml:space="preserve">00 mm/año en el </w:t>
      </w:r>
      <w:r w:rsidR="005B22DF">
        <w:rPr>
          <w:rFonts w:asciiTheme="majorHAnsi" w:hAnsiTheme="majorHAnsi" w:cs="Arial"/>
        </w:rPr>
        <w:t>área de intervención del proyecto</w:t>
      </w:r>
      <w:r w:rsidRPr="00AA0A2C">
        <w:rPr>
          <w:rFonts w:asciiTheme="majorHAnsi" w:hAnsiTheme="majorHAnsi" w:cs="Arial"/>
        </w:rPr>
        <w:t xml:space="preserve"> equivalentes a </w:t>
      </w:r>
      <w:r w:rsidR="005B22DF">
        <w:rPr>
          <w:rFonts w:asciiTheme="majorHAnsi" w:hAnsiTheme="majorHAnsi" w:cs="Arial"/>
        </w:rPr>
        <w:t>26</w:t>
      </w:r>
      <w:r w:rsidRPr="00AA0A2C">
        <w:rPr>
          <w:rFonts w:asciiTheme="majorHAnsi" w:hAnsiTheme="majorHAnsi" w:cs="Arial"/>
        </w:rPr>
        <w:t>.000 m</w:t>
      </w:r>
      <w:r w:rsidRPr="005B22DF">
        <w:rPr>
          <w:rFonts w:asciiTheme="majorHAnsi" w:hAnsiTheme="majorHAnsi" w:cs="Arial"/>
          <w:vertAlign w:val="superscript"/>
        </w:rPr>
        <w:t>3</w:t>
      </w:r>
      <w:r w:rsidRPr="00AA0A2C">
        <w:rPr>
          <w:rFonts w:asciiTheme="majorHAnsi" w:hAnsiTheme="majorHAnsi" w:cs="Arial"/>
        </w:rPr>
        <w:t xml:space="preserve">/año. Datos tomados </w:t>
      </w:r>
      <w:r w:rsidR="005B22DF">
        <w:rPr>
          <w:rFonts w:asciiTheme="majorHAnsi" w:hAnsiTheme="majorHAnsi" w:cs="Arial"/>
        </w:rPr>
        <w:t>del capítulo de caracterización ambiental componente abiótico</w:t>
      </w:r>
      <w:r w:rsidRPr="00AA0A2C">
        <w:rPr>
          <w:rFonts w:asciiTheme="majorHAnsi" w:hAnsiTheme="majorHAnsi" w:cs="Arial"/>
        </w:rPr>
        <w:t>.</w:t>
      </w:r>
    </w:p>
    <w:p w:rsidR="005B22DF" w:rsidRPr="005B22DF" w:rsidRDefault="005B22DF" w:rsidP="00CD7283">
      <w:pPr>
        <w:pStyle w:val="Prrafodelista"/>
        <w:numPr>
          <w:ilvl w:val="0"/>
          <w:numId w:val="22"/>
        </w:numPr>
        <w:spacing w:line="240" w:lineRule="auto"/>
        <w:ind w:left="426"/>
        <w:rPr>
          <w:rFonts w:asciiTheme="majorHAnsi" w:hAnsiTheme="majorHAnsi" w:cs="Arial"/>
          <w:lang w:val="es-MX"/>
        </w:rPr>
      </w:pPr>
      <w:r>
        <w:rPr>
          <w:rFonts w:asciiTheme="majorHAnsi" w:hAnsiTheme="majorHAnsi" w:cs="Arial"/>
        </w:rPr>
        <w:t>L</w:t>
      </w:r>
      <w:r w:rsidRPr="005B22DF">
        <w:rPr>
          <w:rFonts w:asciiTheme="majorHAnsi" w:hAnsiTheme="majorHAnsi" w:cs="Arial"/>
        </w:rPr>
        <w:t>a tarifa de agua por el servicio de regulación hídrica del bosque ($132,01</w:t>
      </w:r>
      <w:r>
        <w:rPr>
          <w:rFonts w:asciiTheme="majorHAnsi" w:hAnsiTheme="majorHAnsi" w:cs="Arial"/>
        </w:rPr>
        <w:t>/</w:t>
      </w:r>
      <w:r w:rsidRPr="005B22DF">
        <w:rPr>
          <w:rFonts w:asciiTheme="majorHAnsi" w:hAnsiTheme="majorHAnsi" w:cs="Arial"/>
        </w:rPr>
        <w:t>m</w:t>
      </w:r>
      <w:r w:rsidRPr="005B22DF">
        <w:rPr>
          <w:rFonts w:asciiTheme="majorHAnsi" w:hAnsiTheme="majorHAnsi" w:cs="Arial"/>
          <w:vertAlign w:val="superscript"/>
        </w:rPr>
        <w:t>3</w:t>
      </w:r>
      <w:r w:rsidRPr="005B22DF">
        <w:rPr>
          <w:rFonts w:asciiTheme="majorHAnsi" w:hAnsiTheme="majorHAnsi" w:cs="Arial"/>
        </w:rPr>
        <w:t>) se obtiene del estudio Valoración Económica del Servicio Ambiental de Regulación Hídrica Guatemala 2002. (0,03US$/m</w:t>
      </w:r>
      <w:r w:rsidRPr="005B22DF">
        <w:rPr>
          <w:rFonts w:asciiTheme="majorHAnsi" w:hAnsiTheme="majorHAnsi" w:cs="Arial"/>
          <w:vertAlign w:val="superscript"/>
        </w:rPr>
        <w:t>3</w:t>
      </w:r>
      <w:r>
        <w:rPr>
          <w:rFonts w:asciiTheme="majorHAnsi" w:hAnsiTheme="majorHAnsi" w:cs="Arial"/>
        </w:rPr>
        <w:t>).</w:t>
      </w:r>
    </w:p>
    <w:p w:rsidR="00AA0A2C" w:rsidRPr="00AA0A2C" w:rsidRDefault="00AA0A2C" w:rsidP="00CD7283">
      <w:pPr>
        <w:pStyle w:val="Prrafodelista"/>
        <w:numPr>
          <w:ilvl w:val="0"/>
          <w:numId w:val="22"/>
        </w:numPr>
        <w:spacing w:line="240" w:lineRule="auto"/>
        <w:ind w:left="426"/>
        <w:rPr>
          <w:rFonts w:asciiTheme="majorHAnsi" w:hAnsiTheme="majorHAnsi" w:cs="Arial"/>
          <w:lang w:val="es-MX"/>
        </w:rPr>
      </w:pPr>
      <w:r w:rsidRPr="00AA0A2C">
        <w:rPr>
          <w:rFonts w:asciiTheme="majorHAnsi" w:hAnsiTheme="majorHAnsi" w:cs="Arial"/>
        </w:rPr>
        <w:t>Se considera un periodo de cinco años en los que no habrá ganancias de captura de CO2, un primer año durante la tala y la plantación y cuatro años que tarda en recuperarse el bosque según Marwin Melga, 2006</w:t>
      </w:r>
    </w:p>
    <w:p w:rsidR="00AA0A2C" w:rsidRPr="00AA0A2C" w:rsidRDefault="00AA0A2C" w:rsidP="00AA0A2C">
      <w:pPr>
        <w:ind w:left="426"/>
        <w:rPr>
          <w:rFonts w:asciiTheme="majorHAnsi" w:hAnsiTheme="majorHAnsi"/>
          <w:b/>
          <w:sz w:val="20"/>
          <w:szCs w:val="20"/>
          <w:lang w:val="es-MX"/>
        </w:rPr>
      </w:pPr>
    </w:p>
    <w:p w:rsidR="00AA0A2C" w:rsidRPr="00AA0A2C" w:rsidRDefault="00AA0A2C" w:rsidP="00AA0A2C">
      <w:pPr>
        <w:rPr>
          <w:rFonts w:asciiTheme="majorHAnsi" w:eastAsia="Times New Roman" w:hAnsiTheme="majorHAnsi" w:cs="Arial"/>
          <w:b/>
          <w:bCs/>
          <w:color w:val="000000"/>
          <w:lang w:val="es-MX" w:eastAsia="es-CO"/>
        </w:rPr>
      </w:pPr>
      <w:r w:rsidRPr="00AA0A2C">
        <w:rPr>
          <w:rFonts w:asciiTheme="majorHAnsi" w:hAnsiTheme="majorHAnsi" w:cs="Arial"/>
          <w:lang w:val="es-MX"/>
        </w:rPr>
        <w:t xml:space="preserve">Los resultados se presentan en la </w:t>
      </w:r>
      <w:r w:rsidRPr="00AA0A2C">
        <w:rPr>
          <w:rFonts w:asciiTheme="majorHAnsi" w:hAnsiTheme="majorHAnsi" w:cs="Arial"/>
        </w:rPr>
        <w:t xml:space="preserve">siguiente Tabla </w:t>
      </w:r>
      <w:r w:rsidRPr="00AA0A2C">
        <w:rPr>
          <w:rFonts w:asciiTheme="majorHAnsi" w:hAnsiTheme="majorHAnsi" w:cs="Arial"/>
          <w:lang w:val="es-MX"/>
        </w:rPr>
        <w:t xml:space="preserve">en la cual se puede observar que el costo ambiental anual por la pérdida por alteración del régimen de escorrentía de la regulación hídrica para los dos tipos de bosque a intervenir. Aplicando la tasa social de descuento </w:t>
      </w:r>
      <w:r w:rsidRPr="00DE1231">
        <w:rPr>
          <w:rFonts w:asciiTheme="majorHAnsi" w:hAnsiTheme="majorHAnsi" w:cs="Arial"/>
          <w:lang w:val="es-MX"/>
        </w:rPr>
        <w:t xml:space="preserve">del 12% el Valor presente de la pérdida del servicio por regulación hídrica asciende </w:t>
      </w:r>
      <w:r w:rsidRPr="00DE1231">
        <w:rPr>
          <w:rFonts w:asciiTheme="majorHAnsi" w:hAnsiTheme="majorHAnsi" w:cs="Arial"/>
          <w:b/>
          <w:lang w:val="es-MX"/>
        </w:rPr>
        <w:t>$</w:t>
      </w:r>
      <w:r w:rsidR="00DE1231" w:rsidRPr="00DE1231">
        <w:rPr>
          <w:rFonts w:asciiTheme="majorHAnsi" w:hAnsiTheme="majorHAnsi" w:cs="Arial"/>
          <w:b/>
          <w:lang w:val="es-MX"/>
        </w:rPr>
        <w:t>91.629.084.</w:t>
      </w:r>
    </w:p>
    <w:p w:rsidR="00AA0A2C" w:rsidRDefault="00AA0A2C" w:rsidP="00AA0A2C">
      <w:pPr>
        <w:rPr>
          <w:rFonts w:asciiTheme="majorHAnsi" w:eastAsia="Times New Roman" w:hAnsiTheme="majorHAnsi" w:cs="Arial"/>
          <w:b/>
          <w:bCs/>
          <w:color w:val="000000"/>
          <w:lang w:eastAsia="es-CO"/>
        </w:rPr>
      </w:pPr>
    </w:p>
    <w:p w:rsidR="00DE1231" w:rsidRDefault="00DE1231" w:rsidP="00DE1231">
      <w:pPr>
        <w:pStyle w:val="Tablas"/>
      </w:pPr>
      <w:r>
        <w:t xml:space="preserve">Tabla </w:t>
      </w:r>
      <w:r w:rsidR="006D0D6E">
        <w:fldChar w:fldCharType="begin"/>
      </w:r>
      <w:r w:rsidR="006D0D6E">
        <w:instrText xml:space="preserve"> STYLEREF 1 \s </w:instrText>
      </w:r>
      <w:r w:rsidR="006D0D6E">
        <w:fldChar w:fldCharType="separate"/>
      </w:r>
      <w:r w:rsidR="006D0D6E">
        <w:rPr>
          <w:noProof/>
        </w:rPr>
        <w:t>10</w:t>
      </w:r>
      <w:r w:rsidR="006D0D6E">
        <w:fldChar w:fldCharType="end"/>
      </w:r>
      <w:r w:rsidR="006D0D6E">
        <w:t>.</w:t>
      </w:r>
      <w:r w:rsidR="006D0D6E">
        <w:fldChar w:fldCharType="begin"/>
      </w:r>
      <w:r w:rsidR="006D0D6E">
        <w:instrText xml:space="preserve"> SEQ Tabla \* ARABIC \s 1 </w:instrText>
      </w:r>
      <w:r w:rsidR="006D0D6E">
        <w:fldChar w:fldCharType="separate"/>
      </w:r>
      <w:r w:rsidR="006D0D6E">
        <w:rPr>
          <w:noProof/>
        </w:rPr>
        <w:t>12</w:t>
      </w:r>
      <w:r w:rsidR="006D0D6E">
        <w:fldChar w:fldCharType="end"/>
      </w:r>
      <w:r>
        <w:t xml:space="preserve"> </w:t>
      </w:r>
      <w:r w:rsidRPr="00DE1231">
        <w:t>Alteración del régimen de escorrentía en Construcción</w:t>
      </w:r>
    </w:p>
    <w:tbl>
      <w:tblPr>
        <w:tblStyle w:val="Gminis"/>
        <w:tblW w:w="5000" w:type="pct"/>
        <w:tblLook w:val="04A0" w:firstRow="1" w:lastRow="0" w:firstColumn="1" w:lastColumn="0" w:noHBand="0" w:noVBand="1"/>
      </w:tblPr>
      <w:tblGrid>
        <w:gridCol w:w="1305"/>
        <w:gridCol w:w="1102"/>
        <w:gridCol w:w="1000"/>
        <w:gridCol w:w="1176"/>
        <w:gridCol w:w="1193"/>
        <w:gridCol w:w="1203"/>
        <w:gridCol w:w="1282"/>
      </w:tblGrid>
      <w:tr w:rsidR="00DE1231" w:rsidRPr="00DE1231" w:rsidTr="00A243FB">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gridSpan w:val="7"/>
            <w:tcBorders>
              <w:top w:val="none" w:sz="0" w:space="0" w:color="auto"/>
              <w:left w:val="none" w:sz="0" w:space="0" w:color="auto"/>
              <w:bottom w:val="none" w:sz="0" w:space="0" w:color="auto"/>
              <w:right w:val="none" w:sz="0" w:space="0" w:color="auto"/>
            </w:tcBorders>
            <w:noWrap/>
            <w:vAlign w:val="center"/>
            <w:hideMark/>
          </w:tcPr>
          <w:p w:rsidR="00DE1231" w:rsidRPr="00DE1231" w:rsidRDefault="00DE1231" w:rsidP="00A243FB">
            <w:pPr>
              <w:spacing w:line="240" w:lineRule="auto"/>
              <w:contextualSpacing w:val="0"/>
              <w:jc w:val="center"/>
              <w:rPr>
                <w:rFonts w:eastAsia="Times New Roman"/>
                <w:bCs/>
                <w:color w:val="000000"/>
                <w:sz w:val="18"/>
                <w:szCs w:val="18"/>
                <w:lang w:eastAsia="es-CO"/>
              </w:rPr>
            </w:pPr>
            <w:r w:rsidRPr="00DE1231">
              <w:rPr>
                <w:rFonts w:eastAsia="Times New Roman"/>
                <w:bCs/>
                <w:color w:val="000000"/>
                <w:sz w:val="18"/>
                <w:szCs w:val="18"/>
                <w:lang w:eastAsia="es-CO"/>
              </w:rPr>
              <w:t>ALTERACIÓN DEL RÉGIMEN DE ESCORRENTÍA EN CONSTRUCCIÓN</w:t>
            </w:r>
          </w:p>
        </w:tc>
      </w:tr>
      <w:tr w:rsidR="00DE1231" w:rsidRPr="00DE1231" w:rsidTr="00A243FB">
        <w:trPr>
          <w:trHeight w:val="20"/>
        </w:trPr>
        <w:tc>
          <w:tcPr>
            <w:cnfStyle w:val="001000000000" w:firstRow="0" w:lastRow="0" w:firstColumn="1" w:lastColumn="0" w:oddVBand="0" w:evenVBand="0" w:oddHBand="0" w:evenHBand="0" w:firstRowFirstColumn="0" w:firstRowLastColumn="0" w:lastRowFirstColumn="0" w:lastRowLastColumn="0"/>
            <w:tcW w:w="790" w:type="pct"/>
            <w:vMerge w:val="restart"/>
            <w:tcBorders>
              <w:left w:val="none" w:sz="0" w:space="0" w:color="auto"/>
            </w:tcBorders>
            <w:vAlign w:val="center"/>
            <w:hideMark/>
          </w:tcPr>
          <w:p w:rsidR="00DE1231" w:rsidRPr="00DE1231" w:rsidRDefault="00DE1231" w:rsidP="00A243FB">
            <w:pPr>
              <w:spacing w:line="240" w:lineRule="auto"/>
              <w:contextualSpacing w:val="0"/>
              <w:jc w:val="center"/>
              <w:rPr>
                <w:rFonts w:eastAsia="Times New Roman"/>
                <w:b/>
                <w:bCs/>
                <w:color w:val="000000"/>
                <w:sz w:val="18"/>
                <w:szCs w:val="18"/>
                <w:lang w:eastAsia="es-CO"/>
              </w:rPr>
            </w:pPr>
            <w:r w:rsidRPr="00DE1231">
              <w:rPr>
                <w:rFonts w:eastAsia="Times New Roman"/>
                <w:b/>
                <w:bCs/>
                <w:color w:val="000000"/>
                <w:sz w:val="18"/>
                <w:szCs w:val="18"/>
                <w:lang w:eastAsia="es-CO"/>
              </w:rPr>
              <w:t xml:space="preserve">Componente </w:t>
            </w:r>
            <w:r>
              <w:rPr>
                <w:rFonts w:eastAsia="Times New Roman"/>
                <w:b/>
                <w:bCs/>
                <w:color w:val="000000"/>
                <w:sz w:val="18"/>
                <w:szCs w:val="18"/>
                <w:lang w:eastAsia="es-CO"/>
              </w:rPr>
              <w:t>B</w:t>
            </w:r>
            <w:r w:rsidRPr="00DE1231">
              <w:rPr>
                <w:rFonts w:eastAsia="Times New Roman"/>
                <w:b/>
                <w:bCs/>
                <w:color w:val="000000"/>
                <w:sz w:val="18"/>
                <w:szCs w:val="18"/>
                <w:lang w:eastAsia="es-CO"/>
              </w:rPr>
              <w:t>iótico</w:t>
            </w:r>
          </w:p>
        </w:tc>
        <w:tc>
          <w:tcPr>
            <w:tcW w:w="1272" w:type="pct"/>
            <w:gridSpan w:val="2"/>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DE1231">
              <w:rPr>
                <w:rFonts w:eastAsia="Times New Roman"/>
                <w:b/>
                <w:bCs/>
                <w:color w:val="000000"/>
                <w:sz w:val="18"/>
                <w:szCs w:val="18"/>
                <w:lang w:eastAsia="es-CO"/>
              </w:rPr>
              <w:t>Cobertura vegetal</w:t>
            </w:r>
          </w:p>
        </w:tc>
        <w:tc>
          <w:tcPr>
            <w:tcW w:w="712" w:type="pct"/>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DE1231">
              <w:rPr>
                <w:rFonts w:eastAsia="Times New Roman"/>
                <w:b/>
                <w:bCs/>
                <w:color w:val="000000"/>
                <w:sz w:val="18"/>
                <w:szCs w:val="18"/>
                <w:lang w:eastAsia="es-CO"/>
              </w:rPr>
              <w:t>Bosque abierto</w:t>
            </w:r>
          </w:p>
        </w:tc>
        <w:tc>
          <w:tcPr>
            <w:tcW w:w="722" w:type="pct"/>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DE1231">
              <w:rPr>
                <w:rFonts w:eastAsia="Times New Roman"/>
                <w:b/>
                <w:bCs/>
                <w:color w:val="000000"/>
                <w:sz w:val="18"/>
                <w:szCs w:val="18"/>
                <w:lang w:eastAsia="es-CO"/>
              </w:rPr>
              <w:t>Bosque de galería y/o ripario</w:t>
            </w:r>
          </w:p>
        </w:tc>
        <w:tc>
          <w:tcPr>
            <w:tcW w:w="728" w:type="pct"/>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DE1231">
              <w:rPr>
                <w:rFonts w:eastAsia="Times New Roman"/>
                <w:b/>
                <w:bCs/>
                <w:color w:val="000000"/>
                <w:sz w:val="18"/>
                <w:szCs w:val="18"/>
                <w:lang w:eastAsia="es-CO"/>
              </w:rPr>
              <w:t>Vegetación secundaria o en transición</w:t>
            </w:r>
          </w:p>
        </w:tc>
        <w:tc>
          <w:tcPr>
            <w:tcW w:w="776" w:type="pct"/>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DE1231">
              <w:rPr>
                <w:rFonts w:eastAsia="Times New Roman"/>
                <w:b/>
                <w:bCs/>
                <w:color w:val="000000"/>
                <w:sz w:val="18"/>
                <w:szCs w:val="18"/>
                <w:lang w:eastAsia="es-CO"/>
              </w:rPr>
              <w:t>VALOR TOTAL ($)</w:t>
            </w:r>
          </w:p>
        </w:tc>
      </w:tr>
      <w:tr w:rsidR="00DE1231" w:rsidRPr="00DE1231" w:rsidTr="00A243FB">
        <w:trPr>
          <w:trHeight w:val="20"/>
        </w:trPr>
        <w:tc>
          <w:tcPr>
            <w:cnfStyle w:val="001000000000" w:firstRow="0" w:lastRow="0" w:firstColumn="1" w:lastColumn="0" w:oddVBand="0" w:evenVBand="0" w:oddHBand="0" w:evenHBand="0" w:firstRowFirstColumn="0" w:firstRowLastColumn="0" w:lastRowFirstColumn="0" w:lastRowLastColumn="0"/>
            <w:tcW w:w="790" w:type="pct"/>
            <w:vMerge/>
            <w:tcBorders>
              <w:left w:val="none" w:sz="0" w:space="0" w:color="auto"/>
            </w:tcBorders>
            <w:vAlign w:val="center"/>
            <w:hideMark/>
          </w:tcPr>
          <w:p w:rsidR="00DE1231" w:rsidRPr="00DE1231" w:rsidRDefault="00DE1231" w:rsidP="00A243FB">
            <w:pPr>
              <w:spacing w:line="240" w:lineRule="auto"/>
              <w:contextualSpacing w:val="0"/>
              <w:jc w:val="center"/>
              <w:rPr>
                <w:rFonts w:eastAsia="Times New Roman"/>
                <w:b/>
                <w:bCs/>
                <w:color w:val="000000"/>
                <w:sz w:val="18"/>
                <w:szCs w:val="18"/>
                <w:lang w:eastAsia="es-CO"/>
              </w:rPr>
            </w:pPr>
          </w:p>
        </w:tc>
        <w:tc>
          <w:tcPr>
            <w:tcW w:w="1272" w:type="pct"/>
            <w:gridSpan w:val="2"/>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DE1231">
              <w:rPr>
                <w:rFonts w:eastAsia="Times New Roman"/>
                <w:b/>
                <w:bCs/>
                <w:color w:val="000000"/>
                <w:sz w:val="18"/>
                <w:szCs w:val="18"/>
                <w:lang w:eastAsia="es-CO"/>
              </w:rPr>
              <w:t>Nº Hectáreas</w:t>
            </w:r>
          </w:p>
        </w:tc>
        <w:tc>
          <w:tcPr>
            <w:tcW w:w="712" w:type="pct"/>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E1231">
              <w:rPr>
                <w:rFonts w:eastAsia="Times New Roman"/>
                <w:color w:val="000000"/>
                <w:sz w:val="18"/>
                <w:szCs w:val="18"/>
                <w:lang w:eastAsia="es-CO"/>
              </w:rPr>
              <w:t>0,70</w:t>
            </w:r>
          </w:p>
        </w:tc>
        <w:tc>
          <w:tcPr>
            <w:tcW w:w="722" w:type="pct"/>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E1231">
              <w:rPr>
                <w:rFonts w:eastAsia="Times New Roman"/>
                <w:color w:val="000000"/>
                <w:sz w:val="18"/>
                <w:szCs w:val="18"/>
                <w:lang w:eastAsia="es-CO"/>
              </w:rPr>
              <w:t>2,33</w:t>
            </w:r>
          </w:p>
        </w:tc>
        <w:tc>
          <w:tcPr>
            <w:tcW w:w="728" w:type="pct"/>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E1231">
              <w:rPr>
                <w:rFonts w:eastAsia="Times New Roman"/>
                <w:color w:val="000000"/>
                <w:sz w:val="18"/>
                <w:szCs w:val="18"/>
                <w:lang w:eastAsia="es-CO"/>
              </w:rPr>
              <w:t>2,95</w:t>
            </w:r>
          </w:p>
        </w:tc>
        <w:tc>
          <w:tcPr>
            <w:tcW w:w="776" w:type="pct"/>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E1231">
              <w:rPr>
                <w:rFonts w:eastAsia="Times New Roman"/>
                <w:color w:val="000000"/>
                <w:sz w:val="18"/>
                <w:szCs w:val="18"/>
                <w:lang w:eastAsia="es-CO"/>
              </w:rPr>
              <w:t>5,98</w:t>
            </w:r>
          </w:p>
        </w:tc>
      </w:tr>
      <w:tr w:rsidR="00DE1231" w:rsidRPr="00DE1231" w:rsidTr="00A243FB">
        <w:trPr>
          <w:trHeight w:val="20"/>
        </w:trPr>
        <w:tc>
          <w:tcPr>
            <w:cnfStyle w:val="001000000000" w:firstRow="0" w:lastRow="0" w:firstColumn="1" w:lastColumn="0" w:oddVBand="0" w:evenVBand="0" w:oddHBand="0" w:evenHBand="0" w:firstRowFirstColumn="0" w:firstRowLastColumn="0" w:lastRowFirstColumn="0" w:lastRowLastColumn="0"/>
            <w:tcW w:w="790" w:type="pct"/>
            <w:vMerge w:val="restart"/>
            <w:tcBorders>
              <w:left w:val="none" w:sz="0" w:space="0" w:color="auto"/>
            </w:tcBorders>
            <w:vAlign w:val="center"/>
            <w:hideMark/>
          </w:tcPr>
          <w:p w:rsidR="00DE1231" w:rsidRPr="00DE1231" w:rsidRDefault="00DE1231" w:rsidP="00A243FB">
            <w:pPr>
              <w:spacing w:line="240" w:lineRule="auto"/>
              <w:contextualSpacing w:val="0"/>
              <w:jc w:val="center"/>
              <w:rPr>
                <w:rFonts w:eastAsia="Times New Roman"/>
                <w:b/>
                <w:bCs/>
                <w:color w:val="000000"/>
                <w:sz w:val="18"/>
                <w:szCs w:val="18"/>
                <w:lang w:eastAsia="es-CO"/>
              </w:rPr>
            </w:pPr>
            <w:r w:rsidRPr="00DE1231">
              <w:rPr>
                <w:rFonts w:eastAsia="Times New Roman"/>
                <w:b/>
                <w:bCs/>
                <w:color w:val="000000"/>
                <w:sz w:val="18"/>
                <w:szCs w:val="18"/>
                <w:lang w:eastAsia="es-CO"/>
              </w:rPr>
              <w:t>Alteración del régimen de escorrentía</w:t>
            </w:r>
          </w:p>
        </w:tc>
        <w:tc>
          <w:tcPr>
            <w:tcW w:w="667" w:type="pct"/>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E1231">
              <w:rPr>
                <w:rFonts w:eastAsia="Times New Roman"/>
                <w:color w:val="000000"/>
                <w:sz w:val="18"/>
                <w:szCs w:val="18"/>
                <w:lang w:eastAsia="es-CO"/>
              </w:rPr>
              <w:t>Regulación hídrica</w:t>
            </w:r>
          </w:p>
        </w:tc>
        <w:tc>
          <w:tcPr>
            <w:tcW w:w="605" w:type="pct"/>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E1231">
              <w:rPr>
                <w:rFonts w:eastAsia="Times New Roman"/>
                <w:color w:val="000000"/>
                <w:sz w:val="18"/>
                <w:szCs w:val="18"/>
                <w:lang w:eastAsia="es-CO"/>
              </w:rPr>
              <w:t>26.000 m</w:t>
            </w:r>
            <w:r w:rsidRPr="00DE1231">
              <w:rPr>
                <w:rFonts w:eastAsia="Times New Roman"/>
                <w:color w:val="000000"/>
                <w:sz w:val="18"/>
                <w:szCs w:val="18"/>
                <w:vertAlign w:val="superscript"/>
                <w:lang w:eastAsia="es-CO"/>
              </w:rPr>
              <w:t>3</w:t>
            </w:r>
            <w:r w:rsidRPr="00DE1231">
              <w:rPr>
                <w:rFonts w:eastAsia="Times New Roman"/>
                <w:color w:val="000000"/>
                <w:sz w:val="18"/>
                <w:szCs w:val="18"/>
                <w:lang w:eastAsia="es-CO"/>
              </w:rPr>
              <w:t>/ha-año *</w:t>
            </w:r>
          </w:p>
        </w:tc>
        <w:tc>
          <w:tcPr>
            <w:tcW w:w="712" w:type="pct"/>
            <w:noWrap/>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E1231">
              <w:rPr>
                <w:rFonts w:eastAsia="Times New Roman"/>
                <w:color w:val="000000"/>
                <w:sz w:val="18"/>
                <w:szCs w:val="18"/>
                <w:lang w:eastAsia="es-CO"/>
              </w:rPr>
              <w:t>18.200</w:t>
            </w:r>
          </w:p>
        </w:tc>
        <w:tc>
          <w:tcPr>
            <w:tcW w:w="722" w:type="pct"/>
            <w:noWrap/>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E1231">
              <w:rPr>
                <w:rFonts w:eastAsia="Times New Roman"/>
                <w:color w:val="000000"/>
                <w:sz w:val="18"/>
                <w:szCs w:val="18"/>
                <w:lang w:eastAsia="es-CO"/>
              </w:rPr>
              <w:t>60.580</w:t>
            </w:r>
          </w:p>
        </w:tc>
        <w:tc>
          <w:tcPr>
            <w:tcW w:w="728" w:type="pct"/>
            <w:noWrap/>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E1231">
              <w:rPr>
                <w:rFonts w:eastAsia="Times New Roman"/>
                <w:color w:val="000000"/>
                <w:sz w:val="18"/>
                <w:szCs w:val="18"/>
                <w:lang w:eastAsia="es-CO"/>
              </w:rPr>
              <w:t>76.700</w:t>
            </w:r>
          </w:p>
        </w:tc>
        <w:tc>
          <w:tcPr>
            <w:tcW w:w="776" w:type="pct"/>
            <w:noWrap/>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E1231">
              <w:rPr>
                <w:rFonts w:eastAsia="Times New Roman"/>
                <w:color w:val="000000"/>
                <w:sz w:val="18"/>
                <w:szCs w:val="18"/>
                <w:lang w:eastAsia="es-CO"/>
              </w:rPr>
              <w:t>155.480</w:t>
            </w:r>
          </w:p>
        </w:tc>
      </w:tr>
      <w:tr w:rsidR="00DE1231" w:rsidRPr="00DE1231" w:rsidTr="00A243FB">
        <w:trPr>
          <w:trHeight w:val="20"/>
        </w:trPr>
        <w:tc>
          <w:tcPr>
            <w:cnfStyle w:val="001000000000" w:firstRow="0" w:lastRow="0" w:firstColumn="1" w:lastColumn="0" w:oddVBand="0" w:evenVBand="0" w:oddHBand="0" w:evenHBand="0" w:firstRowFirstColumn="0" w:firstRowLastColumn="0" w:lastRowFirstColumn="0" w:lastRowLastColumn="0"/>
            <w:tcW w:w="790" w:type="pct"/>
            <w:vMerge/>
            <w:tcBorders>
              <w:left w:val="none" w:sz="0" w:space="0" w:color="auto"/>
            </w:tcBorders>
            <w:vAlign w:val="center"/>
            <w:hideMark/>
          </w:tcPr>
          <w:p w:rsidR="00DE1231" w:rsidRPr="00DE1231" w:rsidRDefault="00DE1231" w:rsidP="00A243FB">
            <w:pPr>
              <w:spacing w:line="240" w:lineRule="auto"/>
              <w:contextualSpacing w:val="0"/>
              <w:jc w:val="center"/>
              <w:rPr>
                <w:rFonts w:eastAsia="Times New Roman"/>
                <w:b/>
                <w:bCs/>
                <w:color w:val="000000"/>
                <w:sz w:val="18"/>
                <w:szCs w:val="18"/>
                <w:lang w:eastAsia="es-CO"/>
              </w:rPr>
            </w:pPr>
          </w:p>
        </w:tc>
        <w:tc>
          <w:tcPr>
            <w:tcW w:w="1272" w:type="pct"/>
            <w:gridSpan w:val="2"/>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E1231">
              <w:rPr>
                <w:rFonts w:eastAsia="Times New Roman"/>
                <w:color w:val="000000"/>
                <w:sz w:val="18"/>
                <w:szCs w:val="18"/>
                <w:lang w:eastAsia="es-CO"/>
              </w:rPr>
              <w:t>Valor m</w:t>
            </w:r>
            <w:r w:rsidRPr="00DE1231">
              <w:rPr>
                <w:rFonts w:eastAsia="Times New Roman"/>
                <w:color w:val="000000"/>
                <w:sz w:val="18"/>
                <w:szCs w:val="18"/>
                <w:vertAlign w:val="superscript"/>
                <w:lang w:eastAsia="es-CO"/>
              </w:rPr>
              <w:t>3</w:t>
            </w:r>
            <w:r w:rsidRPr="00DE1231">
              <w:rPr>
                <w:rFonts w:eastAsia="Times New Roman"/>
                <w:color w:val="000000"/>
                <w:sz w:val="18"/>
                <w:szCs w:val="18"/>
                <w:lang w:eastAsia="es-CO"/>
              </w:rPr>
              <w:t>($) **</w:t>
            </w:r>
          </w:p>
        </w:tc>
        <w:tc>
          <w:tcPr>
            <w:tcW w:w="712" w:type="pct"/>
            <w:noWrap/>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E1231">
              <w:rPr>
                <w:rFonts w:eastAsia="Times New Roman"/>
                <w:color w:val="000000"/>
                <w:sz w:val="18"/>
                <w:szCs w:val="18"/>
                <w:lang w:eastAsia="es-CO"/>
              </w:rPr>
              <w:t>132,01</w:t>
            </w:r>
          </w:p>
        </w:tc>
        <w:tc>
          <w:tcPr>
            <w:tcW w:w="722" w:type="pct"/>
            <w:noWrap/>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E1231">
              <w:rPr>
                <w:rFonts w:eastAsia="Times New Roman"/>
                <w:color w:val="000000"/>
                <w:sz w:val="18"/>
                <w:szCs w:val="18"/>
                <w:lang w:eastAsia="es-CO"/>
              </w:rPr>
              <w:t>132,01</w:t>
            </w:r>
          </w:p>
        </w:tc>
        <w:tc>
          <w:tcPr>
            <w:tcW w:w="728" w:type="pct"/>
            <w:noWrap/>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E1231">
              <w:rPr>
                <w:rFonts w:eastAsia="Times New Roman"/>
                <w:color w:val="000000"/>
                <w:sz w:val="18"/>
                <w:szCs w:val="18"/>
                <w:lang w:eastAsia="es-CO"/>
              </w:rPr>
              <w:t>132,01</w:t>
            </w:r>
          </w:p>
        </w:tc>
        <w:tc>
          <w:tcPr>
            <w:tcW w:w="776" w:type="pct"/>
            <w:noWrap/>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E1231">
              <w:rPr>
                <w:rFonts w:eastAsia="Times New Roman"/>
                <w:color w:val="000000"/>
                <w:sz w:val="18"/>
                <w:szCs w:val="18"/>
                <w:lang w:eastAsia="es-CO"/>
              </w:rPr>
              <w:t>132,01</w:t>
            </w:r>
          </w:p>
        </w:tc>
      </w:tr>
      <w:tr w:rsidR="00DE1231" w:rsidRPr="00DE1231" w:rsidTr="00A243FB">
        <w:trPr>
          <w:trHeight w:val="20"/>
        </w:trPr>
        <w:tc>
          <w:tcPr>
            <w:cnfStyle w:val="001000000000" w:firstRow="0" w:lastRow="0" w:firstColumn="1" w:lastColumn="0" w:oddVBand="0" w:evenVBand="0" w:oddHBand="0" w:evenHBand="0" w:firstRowFirstColumn="0" w:firstRowLastColumn="0" w:lastRowFirstColumn="0" w:lastRowLastColumn="0"/>
            <w:tcW w:w="790" w:type="pct"/>
            <w:vMerge/>
            <w:tcBorders>
              <w:left w:val="none" w:sz="0" w:space="0" w:color="auto"/>
            </w:tcBorders>
            <w:vAlign w:val="center"/>
            <w:hideMark/>
          </w:tcPr>
          <w:p w:rsidR="00DE1231" w:rsidRPr="00DE1231" w:rsidRDefault="00DE1231" w:rsidP="00A243FB">
            <w:pPr>
              <w:spacing w:line="240" w:lineRule="auto"/>
              <w:contextualSpacing w:val="0"/>
              <w:jc w:val="center"/>
              <w:rPr>
                <w:rFonts w:eastAsia="Times New Roman"/>
                <w:b/>
                <w:bCs/>
                <w:color w:val="000000"/>
                <w:sz w:val="18"/>
                <w:szCs w:val="18"/>
                <w:lang w:eastAsia="es-CO"/>
              </w:rPr>
            </w:pPr>
          </w:p>
        </w:tc>
        <w:tc>
          <w:tcPr>
            <w:tcW w:w="1272" w:type="pct"/>
            <w:gridSpan w:val="2"/>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E1231">
              <w:rPr>
                <w:rFonts w:eastAsia="Times New Roman"/>
                <w:color w:val="000000"/>
                <w:sz w:val="18"/>
                <w:szCs w:val="18"/>
                <w:lang w:eastAsia="es-CO"/>
              </w:rPr>
              <w:t xml:space="preserve">Valor anual Pesos </w:t>
            </w:r>
          </w:p>
        </w:tc>
        <w:tc>
          <w:tcPr>
            <w:tcW w:w="712" w:type="pct"/>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E1231">
              <w:rPr>
                <w:rFonts w:eastAsia="Times New Roman"/>
                <w:color w:val="000000"/>
                <w:sz w:val="18"/>
                <w:szCs w:val="18"/>
                <w:lang w:eastAsia="es-CO"/>
              </w:rPr>
              <w:t>2.402.582</w:t>
            </w:r>
          </w:p>
        </w:tc>
        <w:tc>
          <w:tcPr>
            <w:tcW w:w="722" w:type="pct"/>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E1231">
              <w:rPr>
                <w:rFonts w:eastAsia="Times New Roman"/>
                <w:color w:val="000000"/>
                <w:sz w:val="18"/>
                <w:szCs w:val="18"/>
                <w:lang w:eastAsia="es-CO"/>
              </w:rPr>
              <w:t>7.997.166</w:t>
            </w:r>
          </w:p>
        </w:tc>
        <w:tc>
          <w:tcPr>
            <w:tcW w:w="728" w:type="pct"/>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E1231">
              <w:rPr>
                <w:rFonts w:eastAsia="Times New Roman"/>
                <w:color w:val="000000"/>
                <w:sz w:val="18"/>
                <w:szCs w:val="18"/>
                <w:lang w:eastAsia="es-CO"/>
              </w:rPr>
              <w:t>10.125.167</w:t>
            </w:r>
          </w:p>
        </w:tc>
        <w:tc>
          <w:tcPr>
            <w:tcW w:w="776" w:type="pct"/>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E1231">
              <w:rPr>
                <w:rFonts w:eastAsia="Times New Roman"/>
                <w:color w:val="000000"/>
                <w:sz w:val="18"/>
                <w:szCs w:val="18"/>
                <w:lang w:eastAsia="es-CO"/>
              </w:rPr>
              <w:t>20.524.915</w:t>
            </w:r>
          </w:p>
        </w:tc>
      </w:tr>
      <w:tr w:rsidR="00DE1231" w:rsidRPr="00DE1231" w:rsidTr="00A243FB">
        <w:trPr>
          <w:trHeight w:val="20"/>
        </w:trPr>
        <w:tc>
          <w:tcPr>
            <w:cnfStyle w:val="001000000000" w:firstRow="0" w:lastRow="0" w:firstColumn="1" w:lastColumn="0" w:oddVBand="0" w:evenVBand="0" w:oddHBand="0" w:evenHBand="0" w:firstRowFirstColumn="0" w:firstRowLastColumn="0" w:lastRowFirstColumn="0" w:lastRowLastColumn="0"/>
            <w:tcW w:w="790" w:type="pct"/>
            <w:vMerge/>
            <w:tcBorders>
              <w:left w:val="none" w:sz="0" w:space="0" w:color="auto"/>
            </w:tcBorders>
            <w:vAlign w:val="center"/>
            <w:hideMark/>
          </w:tcPr>
          <w:p w:rsidR="00DE1231" w:rsidRPr="00DE1231" w:rsidRDefault="00DE1231" w:rsidP="00A243FB">
            <w:pPr>
              <w:spacing w:line="240" w:lineRule="auto"/>
              <w:contextualSpacing w:val="0"/>
              <w:jc w:val="center"/>
              <w:rPr>
                <w:rFonts w:eastAsia="Times New Roman"/>
                <w:b/>
                <w:bCs/>
                <w:color w:val="000000"/>
                <w:sz w:val="18"/>
                <w:szCs w:val="18"/>
                <w:lang w:eastAsia="es-CO"/>
              </w:rPr>
            </w:pPr>
          </w:p>
        </w:tc>
        <w:tc>
          <w:tcPr>
            <w:tcW w:w="1272" w:type="pct"/>
            <w:gridSpan w:val="2"/>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E1231">
              <w:rPr>
                <w:rFonts w:eastAsia="Times New Roman"/>
                <w:color w:val="000000"/>
                <w:sz w:val="18"/>
                <w:szCs w:val="18"/>
                <w:lang w:eastAsia="es-CO"/>
              </w:rPr>
              <w:t>Años establecimiento***</w:t>
            </w:r>
          </w:p>
        </w:tc>
        <w:tc>
          <w:tcPr>
            <w:tcW w:w="712" w:type="pct"/>
            <w:noWrap/>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E1231">
              <w:rPr>
                <w:rFonts w:eastAsia="Times New Roman"/>
                <w:color w:val="000000"/>
                <w:sz w:val="18"/>
                <w:szCs w:val="18"/>
                <w:lang w:eastAsia="es-CO"/>
              </w:rPr>
              <w:t>5</w:t>
            </w:r>
          </w:p>
        </w:tc>
        <w:tc>
          <w:tcPr>
            <w:tcW w:w="722" w:type="pct"/>
            <w:noWrap/>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E1231">
              <w:rPr>
                <w:rFonts w:eastAsia="Times New Roman"/>
                <w:color w:val="000000"/>
                <w:sz w:val="18"/>
                <w:szCs w:val="18"/>
                <w:lang w:eastAsia="es-CO"/>
              </w:rPr>
              <w:t>5</w:t>
            </w:r>
          </w:p>
        </w:tc>
        <w:tc>
          <w:tcPr>
            <w:tcW w:w="728" w:type="pct"/>
            <w:noWrap/>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E1231">
              <w:rPr>
                <w:rFonts w:eastAsia="Times New Roman"/>
                <w:color w:val="000000"/>
                <w:sz w:val="18"/>
                <w:szCs w:val="18"/>
                <w:lang w:eastAsia="es-CO"/>
              </w:rPr>
              <w:t>5</w:t>
            </w:r>
          </w:p>
        </w:tc>
        <w:tc>
          <w:tcPr>
            <w:tcW w:w="776" w:type="pct"/>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E1231">
              <w:rPr>
                <w:rFonts w:eastAsia="Times New Roman"/>
                <w:color w:val="000000"/>
                <w:sz w:val="18"/>
                <w:szCs w:val="18"/>
                <w:lang w:eastAsia="es-CO"/>
              </w:rPr>
              <w:t>5</w:t>
            </w:r>
          </w:p>
        </w:tc>
      </w:tr>
      <w:tr w:rsidR="00DE1231" w:rsidRPr="00DE1231" w:rsidTr="00A243FB">
        <w:trPr>
          <w:trHeight w:val="20"/>
        </w:trPr>
        <w:tc>
          <w:tcPr>
            <w:cnfStyle w:val="001000000000" w:firstRow="0" w:lastRow="0" w:firstColumn="1" w:lastColumn="0" w:oddVBand="0" w:evenVBand="0" w:oddHBand="0" w:evenHBand="0" w:firstRowFirstColumn="0" w:firstRowLastColumn="0" w:lastRowFirstColumn="0" w:lastRowLastColumn="0"/>
            <w:tcW w:w="790" w:type="pct"/>
            <w:vMerge/>
            <w:tcBorders>
              <w:left w:val="none" w:sz="0" w:space="0" w:color="auto"/>
            </w:tcBorders>
            <w:vAlign w:val="center"/>
            <w:hideMark/>
          </w:tcPr>
          <w:p w:rsidR="00DE1231" w:rsidRPr="00DE1231" w:rsidRDefault="00DE1231" w:rsidP="00A243FB">
            <w:pPr>
              <w:spacing w:line="240" w:lineRule="auto"/>
              <w:contextualSpacing w:val="0"/>
              <w:jc w:val="center"/>
              <w:rPr>
                <w:rFonts w:eastAsia="Times New Roman"/>
                <w:b/>
                <w:bCs/>
                <w:color w:val="000000"/>
                <w:sz w:val="18"/>
                <w:szCs w:val="18"/>
                <w:lang w:eastAsia="es-CO"/>
              </w:rPr>
            </w:pPr>
          </w:p>
        </w:tc>
        <w:tc>
          <w:tcPr>
            <w:tcW w:w="1272" w:type="pct"/>
            <w:gridSpan w:val="2"/>
            <w:shd w:val="clear" w:color="auto" w:fill="F2F2F2" w:themeFill="background1" w:themeFillShade="F2"/>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DE1231">
              <w:rPr>
                <w:rFonts w:eastAsia="Times New Roman"/>
                <w:b/>
                <w:bCs/>
                <w:color w:val="000000"/>
                <w:sz w:val="18"/>
                <w:szCs w:val="18"/>
                <w:lang w:eastAsia="es-CO"/>
              </w:rPr>
              <w:t>Valor Total Pesos ($)</w:t>
            </w:r>
          </w:p>
        </w:tc>
        <w:tc>
          <w:tcPr>
            <w:tcW w:w="712" w:type="pct"/>
            <w:shd w:val="clear" w:color="auto" w:fill="F2F2F2" w:themeFill="background1" w:themeFillShade="F2"/>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DE1231">
              <w:rPr>
                <w:rFonts w:eastAsia="Times New Roman"/>
                <w:b/>
                <w:bCs/>
                <w:color w:val="000000"/>
                <w:sz w:val="18"/>
                <w:szCs w:val="18"/>
                <w:lang w:eastAsia="es-CO"/>
              </w:rPr>
              <w:t>12.012.910</w:t>
            </w:r>
          </w:p>
        </w:tc>
        <w:tc>
          <w:tcPr>
            <w:tcW w:w="722" w:type="pct"/>
            <w:shd w:val="clear" w:color="auto" w:fill="F2F2F2" w:themeFill="background1" w:themeFillShade="F2"/>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DE1231">
              <w:rPr>
                <w:rFonts w:eastAsia="Times New Roman"/>
                <w:b/>
                <w:bCs/>
                <w:color w:val="000000"/>
                <w:sz w:val="18"/>
                <w:szCs w:val="18"/>
                <w:lang w:eastAsia="es-CO"/>
              </w:rPr>
              <w:t>39.985.829</w:t>
            </w:r>
          </w:p>
        </w:tc>
        <w:tc>
          <w:tcPr>
            <w:tcW w:w="728" w:type="pct"/>
            <w:shd w:val="clear" w:color="auto" w:fill="F2F2F2" w:themeFill="background1" w:themeFillShade="F2"/>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DE1231">
              <w:rPr>
                <w:rFonts w:eastAsia="Times New Roman"/>
                <w:b/>
                <w:bCs/>
                <w:color w:val="000000"/>
                <w:sz w:val="18"/>
                <w:szCs w:val="18"/>
                <w:lang w:eastAsia="es-CO"/>
              </w:rPr>
              <w:t>50.625.835</w:t>
            </w:r>
          </w:p>
        </w:tc>
        <w:tc>
          <w:tcPr>
            <w:tcW w:w="776" w:type="pct"/>
            <w:shd w:val="clear" w:color="auto" w:fill="F2F2F2" w:themeFill="background1" w:themeFillShade="F2"/>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DE1231">
              <w:rPr>
                <w:rFonts w:eastAsia="Times New Roman"/>
                <w:b/>
                <w:bCs/>
                <w:color w:val="000000"/>
                <w:sz w:val="18"/>
                <w:szCs w:val="18"/>
                <w:lang w:eastAsia="es-CO"/>
              </w:rPr>
              <w:t>102.624.574</w:t>
            </w:r>
          </w:p>
        </w:tc>
      </w:tr>
      <w:tr w:rsidR="00DE1231" w:rsidRPr="00DE1231" w:rsidTr="00A243FB">
        <w:trPr>
          <w:trHeight w:val="20"/>
        </w:trPr>
        <w:tc>
          <w:tcPr>
            <w:cnfStyle w:val="001000000000" w:firstRow="0" w:lastRow="0" w:firstColumn="1" w:lastColumn="0" w:oddVBand="0" w:evenVBand="0" w:oddHBand="0" w:evenHBand="0" w:firstRowFirstColumn="0" w:firstRowLastColumn="0" w:lastRowFirstColumn="0" w:lastRowLastColumn="0"/>
            <w:tcW w:w="790" w:type="pct"/>
            <w:vMerge/>
            <w:tcBorders>
              <w:left w:val="none" w:sz="0" w:space="0" w:color="auto"/>
            </w:tcBorders>
            <w:vAlign w:val="center"/>
            <w:hideMark/>
          </w:tcPr>
          <w:p w:rsidR="00DE1231" w:rsidRPr="00DE1231" w:rsidRDefault="00DE1231" w:rsidP="00A243FB">
            <w:pPr>
              <w:spacing w:line="240" w:lineRule="auto"/>
              <w:contextualSpacing w:val="0"/>
              <w:jc w:val="center"/>
              <w:rPr>
                <w:rFonts w:eastAsia="Times New Roman"/>
                <w:b/>
                <w:bCs/>
                <w:color w:val="000000"/>
                <w:sz w:val="18"/>
                <w:szCs w:val="18"/>
                <w:lang w:eastAsia="es-CO"/>
              </w:rPr>
            </w:pPr>
          </w:p>
        </w:tc>
        <w:tc>
          <w:tcPr>
            <w:tcW w:w="1272" w:type="pct"/>
            <w:gridSpan w:val="2"/>
            <w:noWrap/>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E1231">
              <w:rPr>
                <w:rFonts w:eastAsia="Times New Roman"/>
                <w:color w:val="000000"/>
                <w:sz w:val="18"/>
                <w:szCs w:val="18"/>
                <w:lang w:eastAsia="es-CO"/>
              </w:rPr>
              <w:t>Valor Presente Neto ($)</w:t>
            </w:r>
          </w:p>
        </w:tc>
        <w:tc>
          <w:tcPr>
            <w:tcW w:w="712" w:type="pct"/>
            <w:noWrap/>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E1231">
              <w:rPr>
                <w:rFonts w:eastAsia="Times New Roman"/>
                <w:color w:val="000000"/>
                <w:sz w:val="18"/>
                <w:szCs w:val="18"/>
                <w:lang w:eastAsia="es-CO"/>
              </w:rPr>
              <w:t>10.725.813</w:t>
            </w:r>
          </w:p>
        </w:tc>
        <w:tc>
          <w:tcPr>
            <w:tcW w:w="722" w:type="pct"/>
            <w:noWrap/>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E1231">
              <w:rPr>
                <w:rFonts w:eastAsia="Times New Roman"/>
                <w:color w:val="000000"/>
                <w:sz w:val="18"/>
                <w:szCs w:val="18"/>
                <w:lang w:eastAsia="es-CO"/>
              </w:rPr>
              <w:t>35.701.633</w:t>
            </w:r>
          </w:p>
        </w:tc>
        <w:tc>
          <w:tcPr>
            <w:tcW w:w="728" w:type="pct"/>
            <w:noWrap/>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E1231">
              <w:rPr>
                <w:rFonts w:eastAsia="Times New Roman"/>
                <w:color w:val="000000"/>
                <w:sz w:val="18"/>
                <w:szCs w:val="18"/>
                <w:lang w:eastAsia="es-CO"/>
              </w:rPr>
              <w:t>45.201.638</w:t>
            </w:r>
          </w:p>
        </w:tc>
        <w:tc>
          <w:tcPr>
            <w:tcW w:w="776" w:type="pct"/>
            <w:noWrap/>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E1231">
              <w:rPr>
                <w:rFonts w:eastAsia="Times New Roman"/>
                <w:color w:val="000000"/>
                <w:sz w:val="18"/>
                <w:szCs w:val="18"/>
                <w:lang w:eastAsia="es-CO"/>
              </w:rPr>
              <w:t>91.629.084</w:t>
            </w:r>
          </w:p>
        </w:tc>
      </w:tr>
    </w:tbl>
    <w:p w:rsidR="00DE1231" w:rsidRPr="00AA0A2C" w:rsidRDefault="008F3A5D" w:rsidP="00A243FB">
      <w:pPr>
        <w:pStyle w:val="Notas"/>
      </w:pPr>
      <w:r>
        <w:t>Fuente</w:t>
      </w:r>
      <w:r w:rsidR="00DE1231" w:rsidRPr="00AA0A2C">
        <w:t>: Autopista Rio Magdalena S.A.S., 2016.</w:t>
      </w:r>
    </w:p>
    <w:p w:rsidR="00DE1231" w:rsidRPr="00DE1231" w:rsidRDefault="00DE1231" w:rsidP="00DE1231">
      <w:pPr>
        <w:rPr>
          <w:rFonts w:asciiTheme="majorHAnsi" w:hAnsiTheme="majorHAnsi"/>
          <w:sz w:val="18"/>
        </w:rPr>
      </w:pPr>
      <w:r w:rsidRPr="00DE1231">
        <w:rPr>
          <w:rFonts w:asciiTheme="majorHAnsi" w:hAnsiTheme="majorHAnsi"/>
          <w:sz w:val="18"/>
        </w:rPr>
        <w:t>*: Precipitación promedio anual es de 2600 mm/año en el área de influencia equivalentes a 26.000 m3/año. Dato tomado del capítulo de caracterización abiótica del EIA.</w:t>
      </w:r>
      <w:r w:rsidRPr="00DE1231">
        <w:rPr>
          <w:rFonts w:asciiTheme="majorHAnsi" w:hAnsiTheme="majorHAnsi"/>
          <w:sz w:val="18"/>
        </w:rPr>
        <w:tab/>
      </w:r>
      <w:r w:rsidRPr="00DE1231">
        <w:rPr>
          <w:rFonts w:asciiTheme="majorHAnsi" w:hAnsiTheme="majorHAnsi"/>
          <w:sz w:val="18"/>
        </w:rPr>
        <w:tab/>
      </w:r>
      <w:r w:rsidRPr="00DE1231">
        <w:rPr>
          <w:rFonts w:asciiTheme="majorHAnsi" w:hAnsiTheme="majorHAnsi"/>
          <w:sz w:val="18"/>
        </w:rPr>
        <w:tab/>
      </w:r>
      <w:r w:rsidRPr="00DE1231">
        <w:rPr>
          <w:rFonts w:asciiTheme="majorHAnsi" w:hAnsiTheme="majorHAnsi"/>
          <w:sz w:val="18"/>
        </w:rPr>
        <w:tab/>
      </w:r>
      <w:r w:rsidRPr="00DE1231">
        <w:rPr>
          <w:rFonts w:asciiTheme="majorHAnsi" w:hAnsiTheme="majorHAnsi"/>
          <w:sz w:val="18"/>
        </w:rPr>
        <w:tab/>
      </w:r>
    </w:p>
    <w:p w:rsidR="00DE1231" w:rsidRPr="00DE1231" w:rsidRDefault="00DE1231" w:rsidP="00DE1231">
      <w:pPr>
        <w:rPr>
          <w:rFonts w:asciiTheme="majorHAnsi" w:hAnsiTheme="majorHAnsi"/>
          <w:sz w:val="18"/>
        </w:rPr>
      </w:pPr>
      <w:r w:rsidRPr="00DE1231">
        <w:rPr>
          <w:rFonts w:asciiTheme="majorHAnsi" w:hAnsiTheme="majorHAnsi"/>
          <w:sz w:val="18"/>
        </w:rPr>
        <w:t>**:  La tarifa de agua por el servicio de regulación hídrica del bosque ($132,01m3) se obtiene del estudio Valoración Económica del Servicio Ambiental de Regulación Hídrica Guatemala 2002. (0,03US$/m3), convertido en pesos del 2002 a la tasa de cambio vigente en ese año ($2.778,21) y actualizado con el IPC hasta diciembre de 2015.</w:t>
      </w:r>
      <w:r w:rsidRPr="00DE1231">
        <w:rPr>
          <w:rFonts w:asciiTheme="majorHAnsi" w:hAnsiTheme="majorHAnsi"/>
          <w:sz w:val="18"/>
        </w:rPr>
        <w:tab/>
      </w:r>
      <w:r w:rsidRPr="00DE1231">
        <w:rPr>
          <w:rFonts w:asciiTheme="majorHAnsi" w:hAnsiTheme="majorHAnsi"/>
          <w:sz w:val="18"/>
        </w:rPr>
        <w:tab/>
      </w:r>
      <w:r w:rsidRPr="00DE1231">
        <w:rPr>
          <w:rFonts w:asciiTheme="majorHAnsi" w:hAnsiTheme="majorHAnsi"/>
          <w:sz w:val="18"/>
        </w:rPr>
        <w:tab/>
      </w:r>
      <w:r w:rsidRPr="00DE1231">
        <w:rPr>
          <w:rFonts w:asciiTheme="majorHAnsi" w:hAnsiTheme="majorHAnsi"/>
          <w:sz w:val="18"/>
        </w:rPr>
        <w:tab/>
      </w:r>
      <w:r w:rsidRPr="00DE1231">
        <w:rPr>
          <w:rFonts w:asciiTheme="majorHAnsi" w:hAnsiTheme="majorHAnsi"/>
          <w:sz w:val="18"/>
        </w:rPr>
        <w:tab/>
      </w:r>
      <w:r w:rsidRPr="00DE1231">
        <w:rPr>
          <w:rFonts w:asciiTheme="majorHAnsi" w:hAnsiTheme="majorHAnsi"/>
          <w:sz w:val="18"/>
        </w:rPr>
        <w:tab/>
      </w:r>
    </w:p>
    <w:p w:rsidR="00DE1231" w:rsidRPr="00DE1231" w:rsidRDefault="00DE1231" w:rsidP="00DE1231">
      <w:pPr>
        <w:rPr>
          <w:rFonts w:asciiTheme="majorHAnsi" w:hAnsiTheme="majorHAnsi"/>
          <w:sz w:val="18"/>
        </w:rPr>
      </w:pPr>
      <w:r w:rsidRPr="00DE1231">
        <w:rPr>
          <w:rFonts w:asciiTheme="majorHAnsi" w:hAnsiTheme="majorHAnsi"/>
          <w:sz w:val="18"/>
        </w:rPr>
        <w:t>***: Se considera un periodo de cinco años en los que no habrá ganancias de captura de CO2, un primer año durante la tala y la plantación y cuatro años que tarda en recuperarse el bosque según Marwin Melga, 2006.</w:t>
      </w:r>
    </w:p>
    <w:p w:rsidR="00AA0A2C" w:rsidRPr="00AA0A2C" w:rsidRDefault="00AA0A2C" w:rsidP="00DE1231">
      <w:pPr>
        <w:rPr>
          <w:rFonts w:asciiTheme="majorHAnsi" w:hAnsiTheme="majorHAnsi"/>
        </w:rPr>
      </w:pPr>
      <w:r w:rsidRPr="00AA0A2C">
        <w:rPr>
          <w:rFonts w:asciiTheme="majorHAnsi" w:hAnsiTheme="majorHAnsi"/>
        </w:rPr>
        <w:tab/>
      </w:r>
    </w:p>
    <w:p w:rsidR="00AA0A2C" w:rsidRPr="00AA0A2C" w:rsidRDefault="00AA0A2C" w:rsidP="00AA0A2C">
      <w:pPr>
        <w:rPr>
          <w:rFonts w:asciiTheme="majorHAnsi" w:hAnsiTheme="majorHAnsi"/>
          <w:b/>
        </w:rPr>
      </w:pPr>
      <w:r w:rsidRPr="00AA0A2C">
        <w:rPr>
          <w:rFonts w:asciiTheme="majorHAnsi" w:hAnsiTheme="majorHAnsi"/>
          <w:b/>
        </w:rPr>
        <w:t>Alteración del régimen de retención de sedimentos</w:t>
      </w:r>
    </w:p>
    <w:p w:rsidR="00AA0A2C" w:rsidRPr="00AA0A2C" w:rsidRDefault="00AA0A2C" w:rsidP="00AA0A2C">
      <w:pPr>
        <w:rPr>
          <w:rFonts w:asciiTheme="majorHAnsi" w:hAnsiTheme="majorHAnsi" w:cs="Arial"/>
        </w:rPr>
      </w:pPr>
    </w:p>
    <w:p w:rsidR="00AA0A2C" w:rsidRPr="00AA0A2C" w:rsidRDefault="00AA0A2C" w:rsidP="00AA0A2C">
      <w:pPr>
        <w:rPr>
          <w:rFonts w:asciiTheme="majorHAnsi" w:hAnsiTheme="majorHAnsi" w:cs="Arial"/>
          <w:lang w:val="es-MX"/>
        </w:rPr>
      </w:pPr>
      <w:r w:rsidRPr="00AA0A2C">
        <w:rPr>
          <w:rFonts w:asciiTheme="majorHAnsi" w:hAnsiTheme="majorHAnsi" w:cs="Arial"/>
          <w:lang w:val="es-MX"/>
        </w:rPr>
        <w:t>El manejo apropiado de los bosques contribuye a reducir la erosión y la carga de sedimentos a las fuentes de agua potable, lo que se traduce en ahorros en costos de tratamiento para mejorar los índices de turbiedad. La reforestación de una hectárea puede reducir la sedimentación de cauces mediante una reducción de la pérdida de suelo, lo cual se puede reflejar en una reversión de la tendencia decreciente en la capacidad de los cauces para evacuar caudales (inundaciones) y en la entrega de agua de mejor calidad (menos turbiedad) a los acueductos y sistemas de riego.</w:t>
      </w:r>
    </w:p>
    <w:p w:rsidR="00AA0A2C" w:rsidRPr="00AA0A2C" w:rsidRDefault="00AA0A2C" w:rsidP="00AA0A2C">
      <w:pPr>
        <w:rPr>
          <w:rFonts w:asciiTheme="majorHAnsi" w:hAnsiTheme="majorHAnsi" w:cs="Arial"/>
          <w:lang w:val="es-MX"/>
        </w:rPr>
      </w:pPr>
    </w:p>
    <w:p w:rsidR="00AA0A2C" w:rsidRPr="00AA0A2C" w:rsidRDefault="00AA0A2C" w:rsidP="00AA0A2C">
      <w:pPr>
        <w:rPr>
          <w:rFonts w:asciiTheme="majorHAnsi" w:hAnsiTheme="majorHAnsi" w:cs="Arial"/>
          <w:b/>
        </w:rPr>
      </w:pPr>
      <w:r w:rsidRPr="00AA0A2C">
        <w:rPr>
          <w:rFonts w:asciiTheme="majorHAnsi" w:hAnsiTheme="majorHAnsi" w:cs="Arial"/>
          <w:lang w:val="es-MX"/>
        </w:rPr>
        <w:t>Si solo se utiliza la mitad del volumen disponible actualmente y el costo de tratamiento por turbiedad (sedimentación) es de $200 por m</w:t>
      </w:r>
      <w:r w:rsidRPr="00AA0A2C">
        <w:rPr>
          <w:rFonts w:asciiTheme="majorHAnsi" w:hAnsiTheme="majorHAnsi" w:cs="Arial"/>
          <w:vertAlign w:val="superscript"/>
          <w:lang w:val="es-MX"/>
        </w:rPr>
        <w:t>3</w:t>
      </w:r>
      <w:r w:rsidRPr="00AA0A2C">
        <w:rPr>
          <w:rFonts w:asciiTheme="majorHAnsi" w:hAnsiTheme="majorHAnsi" w:cs="Arial"/>
          <w:lang w:val="es-MX"/>
        </w:rPr>
        <w:t xml:space="preserve">, se obtienen los resultados que se muestran en la </w:t>
      </w:r>
      <w:r w:rsidRPr="00AA0A2C">
        <w:rPr>
          <w:rFonts w:asciiTheme="majorHAnsi" w:hAnsiTheme="majorHAnsi" w:cs="Arial"/>
        </w:rPr>
        <w:t>siguiente Tabla</w:t>
      </w:r>
      <w:r w:rsidRPr="00AA0A2C">
        <w:rPr>
          <w:rFonts w:asciiTheme="majorHAnsi" w:hAnsiTheme="majorHAnsi" w:cs="Arial"/>
          <w:lang w:val="es-MX"/>
        </w:rPr>
        <w:t xml:space="preserve">. </w:t>
      </w:r>
      <w:r w:rsidRPr="00AA0A2C">
        <w:rPr>
          <w:rFonts w:asciiTheme="majorHAnsi" w:hAnsiTheme="majorHAnsi" w:cs="Arial"/>
        </w:rPr>
        <w:t xml:space="preserve">En total el costo ambiental de la alteración del régimen de retención de sedimentos en valor presente </w:t>
      </w:r>
      <w:r w:rsidRPr="005645E8">
        <w:rPr>
          <w:rFonts w:asciiTheme="majorHAnsi" w:hAnsiTheme="majorHAnsi" w:cs="Arial"/>
        </w:rPr>
        <w:t xml:space="preserve">es de </w:t>
      </w:r>
      <w:r w:rsidRPr="005645E8">
        <w:rPr>
          <w:rFonts w:asciiTheme="majorHAnsi" w:hAnsiTheme="majorHAnsi" w:cs="Arial"/>
          <w:b/>
        </w:rPr>
        <w:t>$</w:t>
      </w:r>
      <w:r w:rsidR="005645E8" w:rsidRPr="005645E8">
        <w:rPr>
          <w:rFonts w:asciiTheme="majorHAnsi" w:hAnsiTheme="majorHAnsi" w:cs="Arial"/>
          <w:b/>
        </w:rPr>
        <w:t>69.410.714.</w:t>
      </w:r>
    </w:p>
    <w:p w:rsidR="00DE1231" w:rsidRDefault="00DE1231" w:rsidP="00DE1231">
      <w:pPr>
        <w:pStyle w:val="Tablas"/>
      </w:pPr>
      <w:r>
        <w:t xml:space="preserve">Tabla </w:t>
      </w:r>
      <w:r w:rsidR="006D0D6E">
        <w:fldChar w:fldCharType="begin"/>
      </w:r>
      <w:r w:rsidR="006D0D6E">
        <w:instrText xml:space="preserve"> STYLEREF 1 \s </w:instrText>
      </w:r>
      <w:r w:rsidR="006D0D6E">
        <w:fldChar w:fldCharType="separate"/>
      </w:r>
      <w:r w:rsidR="006D0D6E">
        <w:rPr>
          <w:noProof/>
        </w:rPr>
        <w:t>10</w:t>
      </w:r>
      <w:r w:rsidR="006D0D6E">
        <w:fldChar w:fldCharType="end"/>
      </w:r>
      <w:r w:rsidR="006D0D6E">
        <w:t>.</w:t>
      </w:r>
      <w:r w:rsidR="006D0D6E">
        <w:fldChar w:fldCharType="begin"/>
      </w:r>
      <w:r w:rsidR="006D0D6E">
        <w:instrText xml:space="preserve"> SEQ Tabla \* ARABIC \s 1 </w:instrText>
      </w:r>
      <w:r w:rsidR="006D0D6E">
        <w:fldChar w:fldCharType="separate"/>
      </w:r>
      <w:r w:rsidR="006D0D6E">
        <w:rPr>
          <w:noProof/>
        </w:rPr>
        <w:t>13</w:t>
      </w:r>
      <w:r w:rsidR="006D0D6E">
        <w:fldChar w:fldCharType="end"/>
      </w:r>
      <w:r>
        <w:t xml:space="preserve"> </w:t>
      </w:r>
      <w:r w:rsidRPr="00DE1231">
        <w:t>Alteración del régimen de retención de sedimentos en Construcción</w:t>
      </w:r>
    </w:p>
    <w:tbl>
      <w:tblPr>
        <w:tblStyle w:val="Gminis"/>
        <w:tblW w:w="5000" w:type="pct"/>
        <w:tblLook w:val="04A0" w:firstRow="1" w:lastRow="0" w:firstColumn="1" w:lastColumn="0" w:noHBand="0" w:noVBand="1"/>
      </w:tblPr>
      <w:tblGrid>
        <w:gridCol w:w="1403"/>
        <w:gridCol w:w="1236"/>
        <w:gridCol w:w="892"/>
        <w:gridCol w:w="1079"/>
        <w:gridCol w:w="1221"/>
        <w:gridCol w:w="1244"/>
        <w:gridCol w:w="1186"/>
      </w:tblGrid>
      <w:tr w:rsidR="00DE1231" w:rsidRPr="00DE1231" w:rsidTr="00A243FB">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gridSpan w:val="7"/>
            <w:tcBorders>
              <w:top w:val="none" w:sz="0" w:space="0" w:color="auto"/>
              <w:left w:val="none" w:sz="0" w:space="0" w:color="auto"/>
              <w:bottom w:val="none" w:sz="0" w:space="0" w:color="auto"/>
              <w:right w:val="none" w:sz="0" w:space="0" w:color="auto"/>
            </w:tcBorders>
            <w:noWrap/>
            <w:vAlign w:val="center"/>
            <w:hideMark/>
          </w:tcPr>
          <w:p w:rsidR="00DE1231" w:rsidRPr="00DE1231" w:rsidRDefault="00DE1231" w:rsidP="00A243FB">
            <w:pPr>
              <w:spacing w:line="240" w:lineRule="auto"/>
              <w:contextualSpacing w:val="0"/>
              <w:jc w:val="center"/>
              <w:rPr>
                <w:rFonts w:asciiTheme="majorHAnsi" w:eastAsia="Times New Roman" w:hAnsiTheme="majorHAnsi"/>
                <w:bCs/>
                <w:color w:val="000000"/>
                <w:sz w:val="18"/>
                <w:szCs w:val="18"/>
                <w:lang w:eastAsia="es-CO"/>
              </w:rPr>
            </w:pPr>
            <w:r w:rsidRPr="00DE1231">
              <w:rPr>
                <w:rFonts w:asciiTheme="majorHAnsi" w:eastAsia="Times New Roman" w:hAnsiTheme="majorHAnsi"/>
                <w:bCs/>
                <w:color w:val="000000"/>
                <w:sz w:val="18"/>
                <w:szCs w:val="18"/>
                <w:lang w:eastAsia="es-CO"/>
              </w:rPr>
              <w:t>ALTERACIÓN DEL RÉGIMEN DE RETENCIÓN DE SEDIMENTOS EN CONSTRUCCIÓN</w:t>
            </w:r>
          </w:p>
        </w:tc>
      </w:tr>
      <w:tr w:rsidR="00DE1231" w:rsidRPr="00DE1231" w:rsidTr="00A243FB">
        <w:trPr>
          <w:trHeight w:val="20"/>
        </w:trPr>
        <w:tc>
          <w:tcPr>
            <w:cnfStyle w:val="001000000000" w:firstRow="0" w:lastRow="0" w:firstColumn="1" w:lastColumn="0" w:oddVBand="0" w:evenVBand="0" w:oddHBand="0" w:evenHBand="0" w:firstRowFirstColumn="0" w:firstRowLastColumn="0" w:lastRowFirstColumn="0" w:lastRowLastColumn="0"/>
            <w:tcW w:w="849" w:type="pct"/>
            <w:vMerge w:val="restart"/>
            <w:tcBorders>
              <w:left w:val="none" w:sz="0" w:space="0" w:color="auto"/>
            </w:tcBorders>
            <w:vAlign w:val="center"/>
            <w:hideMark/>
          </w:tcPr>
          <w:p w:rsidR="00DE1231" w:rsidRPr="00DE1231" w:rsidRDefault="00DE1231" w:rsidP="00A243FB">
            <w:pPr>
              <w:spacing w:line="240" w:lineRule="auto"/>
              <w:contextualSpacing w:val="0"/>
              <w:jc w:val="center"/>
              <w:rPr>
                <w:rFonts w:asciiTheme="majorHAnsi" w:eastAsia="Times New Roman" w:hAnsiTheme="majorHAnsi"/>
                <w:b/>
                <w:bCs/>
                <w:color w:val="000000"/>
                <w:sz w:val="18"/>
                <w:szCs w:val="18"/>
                <w:lang w:eastAsia="es-CO"/>
              </w:rPr>
            </w:pPr>
            <w:r w:rsidRPr="00DE1231">
              <w:rPr>
                <w:rFonts w:asciiTheme="majorHAnsi" w:eastAsia="Times New Roman" w:hAnsiTheme="majorHAnsi"/>
                <w:b/>
                <w:bCs/>
                <w:color w:val="000000"/>
                <w:sz w:val="18"/>
                <w:szCs w:val="18"/>
                <w:lang w:eastAsia="es-CO"/>
              </w:rPr>
              <w:t>Componente biótico</w:t>
            </w:r>
          </w:p>
        </w:tc>
        <w:tc>
          <w:tcPr>
            <w:tcW w:w="1288" w:type="pct"/>
            <w:gridSpan w:val="2"/>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000000"/>
                <w:sz w:val="18"/>
                <w:szCs w:val="18"/>
                <w:lang w:eastAsia="es-CO"/>
              </w:rPr>
            </w:pPr>
            <w:r w:rsidRPr="00DE1231">
              <w:rPr>
                <w:rFonts w:asciiTheme="majorHAnsi" w:eastAsia="Times New Roman" w:hAnsiTheme="majorHAnsi"/>
                <w:b/>
                <w:bCs/>
                <w:color w:val="000000"/>
                <w:sz w:val="18"/>
                <w:szCs w:val="18"/>
                <w:lang w:eastAsia="es-CO"/>
              </w:rPr>
              <w:t>Cobertura vegetal</w:t>
            </w:r>
          </w:p>
        </w:tc>
        <w:tc>
          <w:tcPr>
            <w:tcW w:w="653" w:type="pct"/>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000000"/>
                <w:sz w:val="18"/>
                <w:szCs w:val="18"/>
                <w:lang w:eastAsia="es-CO"/>
              </w:rPr>
            </w:pPr>
            <w:r w:rsidRPr="00DE1231">
              <w:rPr>
                <w:rFonts w:asciiTheme="majorHAnsi" w:eastAsia="Times New Roman" w:hAnsiTheme="majorHAnsi"/>
                <w:b/>
                <w:bCs/>
                <w:color w:val="000000"/>
                <w:sz w:val="18"/>
                <w:szCs w:val="18"/>
                <w:lang w:eastAsia="es-CO"/>
              </w:rPr>
              <w:t>Bosque abierto</w:t>
            </w:r>
          </w:p>
        </w:tc>
        <w:tc>
          <w:tcPr>
            <w:tcW w:w="739" w:type="pct"/>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000000"/>
                <w:sz w:val="18"/>
                <w:szCs w:val="18"/>
                <w:lang w:eastAsia="es-CO"/>
              </w:rPr>
            </w:pPr>
            <w:r w:rsidRPr="00DE1231">
              <w:rPr>
                <w:rFonts w:asciiTheme="majorHAnsi" w:eastAsia="Times New Roman" w:hAnsiTheme="majorHAnsi"/>
                <w:b/>
                <w:bCs/>
                <w:color w:val="000000"/>
                <w:sz w:val="18"/>
                <w:szCs w:val="18"/>
                <w:lang w:eastAsia="es-CO"/>
              </w:rPr>
              <w:t>Bosque de galería y/o ripario</w:t>
            </w:r>
          </w:p>
        </w:tc>
        <w:tc>
          <w:tcPr>
            <w:tcW w:w="753" w:type="pct"/>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000000"/>
                <w:sz w:val="18"/>
                <w:szCs w:val="18"/>
                <w:lang w:eastAsia="es-CO"/>
              </w:rPr>
            </w:pPr>
            <w:r w:rsidRPr="00DE1231">
              <w:rPr>
                <w:rFonts w:asciiTheme="majorHAnsi" w:eastAsia="Times New Roman" w:hAnsiTheme="majorHAnsi"/>
                <w:b/>
                <w:bCs/>
                <w:color w:val="000000"/>
                <w:sz w:val="18"/>
                <w:szCs w:val="18"/>
                <w:lang w:eastAsia="es-CO"/>
              </w:rPr>
              <w:t>Vegetación secundaria o en transición</w:t>
            </w:r>
          </w:p>
        </w:tc>
        <w:tc>
          <w:tcPr>
            <w:tcW w:w="719" w:type="pct"/>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000000"/>
                <w:sz w:val="18"/>
                <w:szCs w:val="18"/>
                <w:lang w:eastAsia="es-CO"/>
              </w:rPr>
            </w:pPr>
            <w:r w:rsidRPr="00DE1231">
              <w:rPr>
                <w:rFonts w:asciiTheme="majorHAnsi" w:eastAsia="Times New Roman" w:hAnsiTheme="majorHAnsi"/>
                <w:b/>
                <w:bCs/>
                <w:color w:val="000000"/>
                <w:sz w:val="18"/>
                <w:szCs w:val="18"/>
                <w:lang w:eastAsia="es-CO"/>
              </w:rPr>
              <w:t>VALOR TOTAL ($)</w:t>
            </w:r>
          </w:p>
        </w:tc>
      </w:tr>
      <w:tr w:rsidR="00DE1231" w:rsidRPr="00DE1231" w:rsidTr="00A243FB">
        <w:trPr>
          <w:trHeight w:val="20"/>
        </w:trPr>
        <w:tc>
          <w:tcPr>
            <w:cnfStyle w:val="001000000000" w:firstRow="0" w:lastRow="0" w:firstColumn="1" w:lastColumn="0" w:oddVBand="0" w:evenVBand="0" w:oddHBand="0" w:evenHBand="0" w:firstRowFirstColumn="0" w:firstRowLastColumn="0" w:lastRowFirstColumn="0" w:lastRowLastColumn="0"/>
            <w:tcW w:w="849" w:type="pct"/>
            <w:vMerge/>
            <w:tcBorders>
              <w:left w:val="none" w:sz="0" w:space="0" w:color="auto"/>
            </w:tcBorders>
            <w:vAlign w:val="center"/>
            <w:hideMark/>
          </w:tcPr>
          <w:p w:rsidR="00DE1231" w:rsidRPr="00DE1231" w:rsidRDefault="00DE1231" w:rsidP="00A243FB">
            <w:pPr>
              <w:spacing w:line="240" w:lineRule="auto"/>
              <w:contextualSpacing w:val="0"/>
              <w:jc w:val="center"/>
              <w:rPr>
                <w:rFonts w:asciiTheme="majorHAnsi" w:eastAsia="Times New Roman" w:hAnsiTheme="majorHAnsi"/>
                <w:b/>
                <w:bCs/>
                <w:color w:val="000000"/>
                <w:sz w:val="18"/>
                <w:szCs w:val="18"/>
                <w:lang w:eastAsia="es-CO"/>
              </w:rPr>
            </w:pPr>
          </w:p>
        </w:tc>
        <w:tc>
          <w:tcPr>
            <w:tcW w:w="1288" w:type="pct"/>
            <w:gridSpan w:val="2"/>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000000"/>
                <w:sz w:val="18"/>
                <w:szCs w:val="18"/>
                <w:lang w:eastAsia="es-CO"/>
              </w:rPr>
            </w:pPr>
            <w:r w:rsidRPr="00DE1231">
              <w:rPr>
                <w:rFonts w:asciiTheme="majorHAnsi" w:eastAsia="Times New Roman" w:hAnsiTheme="majorHAnsi"/>
                <w:b/>
                <w:bCs/>
                <w:color w:val="000000"/>
                <w:sz w:val="18"/>
                <w:szCs w:val="18"/>
                <w:lang w:eastAsia="es-CO"/>
              </w:rPr>
              <w:t>Nº Hectáreas</w:t>
            </w:r>
          </w:p>
        </w:tc>
        <w:tc>
          <w:tcPr>
            <w:tcW w:w="653" w:type="pct"/>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DE1231">
              <w:rPr>
                <w:rFonts w:asciiTheme="majorHAnsi" w:eastAsia="Times New Roman" w:hAnsiTheme="majorHAnsi"/>
                <w:color w:val="000000"/>
                <w:sz w:val="18"/>
                <w:szCs w:val="18"/>
                <w:lang w:eastAsia="es-CO"/>
              </w:rPr>
              <w:t>0,70</w:t>
            </w:r>
          </w:p>
        </w:tc>
        <w:tc>
          <w:tcPr>
            <w:tcW w:w="739" w:type="pct"/>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DE1231">
              <w:rPr>
                <w:rFonts w:asciiTheme="majorHAnsi" w:eastAsia="Times New Roman" w:hAnsiTheme="majorHAnsi"/>
                <w:color w:val="000000"/>
                <w:sz w:val="18"/>
                <w:szCs w:val="18"/>
                <w:lang w:eastAsia="es-CO"/>
              </w:rPr>
              <w:t>2,33</w:t>
            </w:r>
          </w:p>
        </w:tc>
        <w:tc>
          <w:tcPr>
            <w:tcW w:w="753" w:type="pct"/>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DE1231">
              <w:rPr>
                <w:rFonts w:asciiTheme="majorHAnsi" w:eastAsia="Times New Roman" w:hAnsiTheme="majorHAnsi"/>
                <w:color w:val="000000"/>
                <w:sz w:val="18"/>
                <w:szCs w:val="18"/>
                <w:lang w:eastAsia="es-CO"/>
              </w:rPr>
              <w:t>2,95</w:t>
            </w:r>
          </w:p>
        </w:tc>
        <w:tc>
          <w:tcPr>
            <w:tcW w:w="719" w:type="pct"/>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DE1231">
              <w:rPr>
                <w:rFonts w:asciiTheme="majorHAnsi" w:eastAsia="Times New Roman" w:hAnsiTheme="majorHAnsi"/>
                <w:color w:val="000000"/>
                <w:sz w:val="18"/>
                <w:szCs w:val="18"/>
                <w:lang w:eastAsia="es-CO"/>
              </w:rPr>
              <w:t>5,98</w:t>
            </w:r>
          </w:p>
        </w:tc>
      </w:tr>
      <w:tr w:rsidR="00DE1231" w:rsidRPr="00DE1231" w:rsidTr="00A243FB">
        <w:trPr>
          <w:trHeight w:val="20"/>
        </w:trPr>
        <w:tc>
          <w:tcPr>
            <w:cnfStyle w:val="001000000000" w:firstRow="0" w:lastRow="0" w:firstColumn="1" w:lastColumn="0" w:oddVBand="0" w:evenVBand="0" w:oddHBand="0" w:evenHBand="0" w:firstRowFirstColumn="0" w:firstRowLastColumn="0" w:lastRowFirstColumn="0" w:lastRowLastColumn="0"/>
            <w:tcW w:w="849" w:type="pct"/>
            <w:vMerge w:val="restart"/>
            <w:tcBorders>
              <w:left w:val="none" w:sz="0" w:space="0" w:color="auto"/>
            </w:tcBorders>
            <w:vAlign w:val="center"/>
            <w:hideMark/>
          </w:tcPr>
          <w:p w:rsidR="00DE1231" w:rsidRPr="00DE1231" w:rsidRDefault="00DE1231" w:rsidP="00A243FB">
            <w:pPr>
              <w:spacing w:line="240" w:lineRule="auto"/>
              <w:contextualSpacing w:val="0"/>
              <w:jc w:val="center"/>
              <w:rPr>
                <w:rFonts w:asciiTheme="majorHAnsi" w:eastAsia="Times New Roman" w:hAnsiTheme="majorHAnsi"/>
                <w:b/>
                <w:bCs/>
                <w:color w:val="000000"/>
                <w:sz w:val="18"/>
                <w:szCs w:val="18"/>
                <w:lang w:eastAsia="es-CO"/>
              </w:rPr>
            </w:pPr>
            <w:r w:rsidRPr="00DE1231">
              <w:rPr>
                <w:rFonts w:asciiTheme="majorHAnsi" w:eastAsia="Times New Roman" w:hAnsiTheme="majorHAnsi"/>
                <w:b/>
                <w:bCs/>
                <w:color w:val="000000"/>
                <w:sz w:val="18"/>
                <w:szCs w:val="18"/>
                <w:lang w:eastAsia="es-CO"/>
              </w:rPr>
              <w:t>Alteración del régimen natural de retención de sedimentos</w:t>
            </w:r>
          </w:p>
        </w:tc>
        <w:tc>
          <w:tcPr>
            <w:tcW w:w="748" w:type="pct"/>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DE1231">
              <w:rPr>
                <w:rFonts w:asciiTheme="majorHAnsi" w:eastAsia="Times New Roman" w:hAnsiTheme="majorHAnsi"/>
                <w:color w:val="000000"/>
                <w:sz w:val="18"/>
                <w:szCs w:val="18"/>
                <w:lang w:eastAsia="es-CO"/>
              </w:rPr>
              <w:t>Regulación hídrica</w:t>
            </w:r>
          </w:p>
        </w:tc>
        <w:tc>
          <w:tcPr>
            <w:tcW w:w="540" w:type="pct"/>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DE1231">
              <w:rPr>
                <w:rFonts w:asciiTheme="majorHAnsi" w:eastAsia="Times New Roman" w:hAnsiTheme="majorHAnsi"/>
                <w:color w:val="000000"/>
                <w:sz w:val="18"/>
                <w:szCs w:val="18"/>
                <w:lang w:eastAsia="es-CO"/>
              </w:rPr>
              <w:t>13.000 m</w:t>
            </w:r>
            <w:r w:rsidRPr="00DE1231">
              <w:rPr>
                <w:rFonts w:asciiTheme="majorHAnsi" w:eastAsia="Times New Roman" w:hAnsiTheme="majorHAnsi"/>
                <w:color w:val="000000"/>
                <w:sz w:val="18"/>
                <w:szCs w:val="18"/>
                <w:vertAlign w:val="superscript"/>
                <w:lang w:eastAsia="es-CO"/>
              </w:rPr>
              <w:t>3</w:t>
            </w:r>
            <w:r w:rsidRPr="00DE1231">
              <w:rPr>
                <w:rFonts w:asciiTheme="majorHAnsi" w:eastAsia="Times New Roman" w:hAnsiTheme="majorHAnsi"/>
                <w:color w:val="000000"/>
                <w:sz w:val="18"/>
                <w:szCs w:val="18"/>
                <w:lang w:eastAsia="es-CO"/>
              </w:rPr>
              <w:t>/ha-año *</w:t>
            </w:r>
          </w:p>
        </w:tc>
        <w:tc>
          <w:tcPr>
            <w:tcW w:w="653" w:type="pct"/>
            <w:noWrap/>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DE1231">
              <w:rPr>
                <w:rFonts w:asciiTheme="majorHAnsi" w:eastAsia="Times New Roman" w:hAnsiTheme="majorHAnsi"/>
                <w:color w:val="000000"/>
                <w:sz w:val="18"/>
                <w:szCs w:val="18"/>
                <w:lang w:eastAsia="es-CO"/>
              </w:rPr>
              <w:t>9.100</w:t>
            </w:r>
          </w:p>
        </w:tc>
        <w:tc>
          <w:tcPr>
            <w:tcW w:w="739" w:type="pct"/>
            <w:noWrap/>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DE1231">
              <w:rPr>
                <w:rFonts w:asciiTheme="majorHAnsi" w:eastAsia="Times New Roman" w:hAnsiTheme="majorHAnsi"/>
                <w:color w:val="000000"/>
                <w:sz w:val="18"/>
                <w:szCs w:val="18"/>
                <w:lang w:eastAsia="es-CO"/>
              </w:rPr>
              <w:t>30.290</w:t>
            </w:r>
          </w:p>
        </w:tc>
        <w:tc>
          <w:tcPr>
            <w:tcW w:w="753" w:type="pct"/>
            <w:noWrap/>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DE1231">
              <w:rPr>
                <w:rFonts w:asciiTheme="majorHAnsi" w:eastAsia="Times New Roman" w:hAnsiTheme="majorHAnsi"/>
                <w:color w:val="000000"/>
                <w:sz w:val="18"/>
                <w:szCs w:val="18"/>
                <w:lang w:eastAsia="es-CO"/>
              </w:rPr>
              <w:t>38.350</w:t>
            </w:r>
          </w:p>
        </w:tc>
        <w:tc>
          <w:tcPr>
            <w:tcW w:w="719" w:type="pct"/>
            <w:noWrap/>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DE1231">
              <w:rPr>
                <w:rFonts w:asciiTheme="majorHAnsi" w:eastAsia="Times New Roman" w:hAnsiTheme="majorHAnsi"/>
                <w:color w:val="000000"/>
                <w:sz w:val="18"/>
                <w:szCs w:val="18"/>
                <w:lang w:eastAsia="es-CO"/>
              </w:rPr>
              <w:t>77.740</w:t>
            </w:r>
          </w:p>
        </w:tc>
      </w:tr>
      <w:tr w:rsidR="00DE1231" w:rsidRPr="00DE1231" w:rsidTr="00A243FB">
        <w:trPr>
          <w:trHeight w:val="20"/>
        </w:trPr>
        <w:tc>
          <w:tcPr>
            <w:cnfStyle w:val="001000000000" w:firstRow="0" w:lastRow="0" w:firstColumn="1" w:lastColumn="0" w:oddVBand="0" w:evenVBand="0" w:oddHBand="0" w:evenHBand="0" w:firstRowFirstColumn="0" w:firstRowLastColumn="0" w:lastRowFirstColumn="0" w:lastRowLastColumn="0"/>
            <w:tcW w:w="849" w:type="pct"/>
            <w:vMerge/>
            <w:tcBorders>
              <w:left w:val="none" w:sz="0" w:space="0" w:color="auto"/>
            </w:tcBorders>
            <w:vAlign w:val="center"/>
            <w:hideMark/>
          </w:tcPr>
          <w:p w:rsidR="00DE1231" w:rsidRPr="00DE1231" w:rsidRDefault="00DE1231" w:rsidP="00A243FB">
            <w:pPr>
              <w:spacing w:line="240" w:lineRule="auto"/>
              <w:contextualSpacing w:val="0"/>
              <w:jc w:val="center"/>
              <w:rPr>
                <w:rFonts w:asciiTheme="majorHAnsi" w:eastAsia="Times New Roman" w:hAnsiTheme="majorHAnsi"/>
                <w:b/>
                <w:bCs/>
                <w:color w:val="000000"/>
                <w:sz w:val="18"/>
                <w:szCs w:val="18"/>
                <w:lang w:eastAsia="es-CO"/>
              </w:rPr>
            </w:pPr>
          </w:p>
        </w:tc>
        <w:tc>
          <w:tcPr>
            <w:tcW w:w="1288" w:type="pct"/>
            <w:gridSpan w:val="2"/>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DE1231">
              <w:rPr>
                <w:rFonts w:asciiTheme="majorHAnsi" w:eastAsia="Times New Roman" w:hAnsiTheme="majorHAnsi"/>
                <w:color w:val="000000"/>
                <w:sz w:val="18"/>
                <w:szCs w:val="18"/>
                <w:lang w:eastAsia="es-CO"/>
              </w:rPr>
              <w:t>Valor m3($) **</w:t>
            </w:r>
          </w:p>
        </w:tc>
        <w:tc>
          <w:tcPr>
            <w:tcW w:w="653" w:type="pct"/>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DE1231">
              <w:rPr>
                <w:rFonts w:asciiTheme="majorHAnsi" w:eastAsia="Times New Roman" w:hAnsiTheme="majorHAnsi"/>
                <w:color w:val="000000"/>
                <w:sz w:val="18"/>
                <w:szCs w:val="18"/>
                <w:lang w:eastAsia="es-CO"/>
              </w:rPr>
              <w:t>200</w:t>
            </w:r>
          </w:p>
        </w:tc>
        <w:tc>
          <w:tcPr>
            <w:tcW w:w="739" w:type="pct"/>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DE1231">
              <w:rPr>
                <w:rFonts w:asciiTheme="majorHAnsi" w:eastAsia="Times New Roman" w:hAnsiTheme="majorHAnsi"/>
                <w:color w:val="000000"/>
                <w:sz w:val="18"/>
                <w:szCs w:val="18"/>
                <w:lang w:eastAsia="es-CO"/>
              </w:rPr>
              <w:t>200</w:t>
            </w:r>
          </w:p>
        </w:tc>
        <w:tc>
          <w:tcPr>
            <w:tcW w:w="753" w:type="pct"/>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DE1231">
              <w:rPr>
                <w:rFonts w:asciiTheme="majorHAnsi" w:eastAsia="Times New Roman" w:hAnsiTheme="majorHAnsi"/>
                <w:color w:val="000000"/>
                <w:sz w:val="18"/>
                <w:szCs w:val="18"/>
                <w:lang w:eastAsia="es-CO"/>
              </w:rPr>
              <w:t>200</w:t>
            </w:r>
          </w:p>
        </w:tc>
        <w:tc>
          <w:tcPr>
            <w:tcW w:w="719" w:type="pct"/>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DE1231">
              <w:rPr>
                <w:rFonts w:asciiTheme="majorHAnsi" w:eastAsia="Times New Roman" w:hAnsiTheme="majorHAnsi"/>
                <w:color w:val="000000"/>
                <w:sz w:val="18"/>
                <w:szCs w:val="18"/>
                <w:lang w:eastAsia="es-CO"/>
              </w:rPr>
              <w:t>200</w:t>
            </w:r>
          </w:p>
        </w:tc>
      </w:tr>
      <w:tr w:rsidR="00DE1231" w:rsidRPr="00DE1231" w:rsidTr="00A243FB">
        <w:trPr>
          <w:trHeight w:val="20"/>
        </w:trPr>
        <w:tc>
          <w:tcPr>
            <w:cnfStyle w:val="001000000000" w:firstRow="0" w:lastRow="0" w:firstColumn="1" w:lastColumn="0" w:oddVBand="0" w:evenVBand="0" w:oddHBand="0" w:evenHBand="0" w:firstRowFirstColumn="0" w:firstRowLastColumn="0" w:lastRowFirstColumn="0" w:lastRowLastColumn="0"/>
            <w:tcW w:w="849" w:type="pct"/>
            <w:vMerge/>
            <w:tcBorders>
              <w:left w:val="none" w:sz="0" w:space="0" w:color="auto"/>
            </w:tcBorders>
            <w:vAlign w:val="center"/>
            <w:hideMark/>
          </w:tcPr>
          <w:p w:rsidR="00DE1231" w:rsidRPr="00DE1231" w:rsidRDefault="00DE1231" w:rsidP="00A243FB">
            <w:pPr>
              <w:spacing w:line="240" w:lineRule="auto"/>
              <w:contextualSpacing w:val="0"/>
              <w:jc w:val="center"/>
              <w:rPr>
                <w:rFonts w:asciiTheme="majorHAnsi" w:eastAsia="Times New Roman" w:hAnsiTheme="majorHAnsi"/>
                <w:b/>
                <w:bCs/>
                <w:color w:val="000000"/>
                <w:sz w:val="18"/>
                <w:szCs w:val="18"/>
                <w:lang w:eastAsia="es-CO"/>
              </w:rPr>
            </w:pPr>
          </w:p>
        </w:tc>
        <w:tc>
          <w:tcPr>
            <w:tcW w:w="1288" w:type="pct"/>
            <w:gridSpan w:val="2"/>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DE1231">
              <w:rPr>
                <w:rFonts w:asciiTheme="majorHAnsi" w:eastAsia="Times New Roman" w:hAnsiTheme="majorHAnsi"/>
                <w:color w:val="000000"/>
                <w:sz w:val="18"/>
                <w:szCs w:val="18"/>
                <w:lang w:eastAsia="es-CO"/>
              </w:rPr>
              <w:t>Valor anual Pesos ($)</w:t>
            </w:r>
          </w:p>
        </w:tc>
        <w:tc>
          <w:tcPr>
            <w:tcW w:w="653" w:type="pct"/>
            <w:noWrap/>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DE1231">
              <w:rPr>
                <w:rFonts w:asciiTheme="majorHAnsi" w:eastAsia="Times New Roman" w:hAnsiTheme="majorHAnsi"/>
                <w:color w:val="000000"/>
                <w:sz w:val="18"/>
                <w:szCs w:val="18"/>
                <w:lang w:eastAsia="es-CO"/>
              </w:rPr>
              <w:t>1.820.000</w:t>
            </w:r>
          </w:p>
        </w:tc>
        <w:tc>
          <w:tcPr>
            <w:tcW w:w="739" w:type="pct"/>
            <w:noWrap/>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DE1231">
              <w:rPr>
                <w:rFonts w:asciiTheme="majorHAnsi" w:eastAsia="Times New Roman" w:hAnsiTheme="majorHAnsi"/>
                <w:color w:val="000000"/>
                <w:sz w:val="18"/>
                <w:szCs w:val="18"/>
                <w:lang w:eastAsia="es-CO"/>
              </w:rPr>
              <w:t>6.058.000</w:t>
            </w:r>
          </w:p>
        </w:tc>
        <w:tc>
          <w:tcPr>
            <w:tcW w:w="753" w:type="pct"/>
            <w:noWrap/>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DE1231">
              <w:rPr>
                <w:rFonts w:asciiTheme="majorHAnsi" w:eastAsia="Times New Roman" w:hAnsiTheme="majorHAnsi"/>
                <w:color w:val="000000"/>
                <w:sz w:val="18"/>
                <w:szCs w:val="18"/>
                <w:lang w:eastAsia="es-CO"/>
              </w:rPr>
              <w:t>7.670.000</w:t>
            </w:r>
          </w:p>
        </w:tc>
        <w:tc>
          <w:tcPr>
            <w:tcW w:w="719" w:type="pct"/>
            <w:noWrap/>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DE1231">
              <w:rPr>
                <w:rFonts w:asciiTheme="majorHAnsi" w:eastAsia="Times New Roman" w:hAnsiTheme="majorHAnsi"/>
                <w:color w:val="000000"/>
                <w:sz w:val="18"/>
                <w:szCs w:val="18"/>
                <w:lang w:eastAsia="es-CO"/>
              </w:rPr>
              <w:t>15.548.000</w:t>
            </w:r>
          </w:p>
        </w:tc>
      </w:tr>
      <w:tr w:rsidR="00DE1231" w:rsidRPr="00DE1231" w:rsidTr="00A243FB">
        <w:trPr>
          <w:trHeight w:val="20"/>
        </w:trPr>
        <w:tc>
          <w:tcPr>
            <w:cnfStyle w:val="001000000000" w:firstRow="0" w:lastRow="0" w:firstColumn="1" w:lastColumn="0" w:oddVBand="0" w:evenVBand="0" w:oddHBand="0" w:evenHBand="0" w:firstRowFirstColumn="0" w:firstRowLastColumn="0" w:lastRowFirstColumn="0" w:lastRowLastColumn="0"/>
            <w:tcW w:w="849" w:type="pct"/>
            <w:vMerge/>
            <w:tcBorders>
              <w:left w:val="none" w:sz="0" w:space="0" w:color="auto"/>
            </w:tcBorders>
            <w:vAlign w:val="center"/>
            <w:hideMark/>
          </w:tcPr>
          <w:p w:rsidR="00DE1231" w:rsidRPr="00DE1231" w:rsidRDefault="00DE1231" w:rsidP="00A243FB">
            <w:pPr>
              <w:spacing w:line="240" w:lineRule="auto"/>
              <w:contextualSpacing w:val="0"/>
              <w:jc w:val="center"/>
              <w:rPr>
                <w:rFonts w:asciiTheme="majorHAnsi" w:eastAsia="Times New Roman" w:hAnsiTheme="majorHAnsi"/>
                <w:b/>
                <w:bCs/>
                <w:color w:val="000000"/>
                <w:sz w:val="18"/>
                <w:szCs w:val="18"/>
                <w:lang w:eastAsia="es-CO"/>
              </w:rPr>
            </w:pPr>
          </w:p>
        </w:tc>
        <w:tc>
          <w:tcPr>
            <w:tcW w:w="1288" w:type="pct"/>
            <w:gridSpan w:val="2"/>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DE1231">
              <w:rPr>
                <w:rFonts w:asciiTheme="majorHAnsi" w:eastAsia="Times New Roman" w:hAnsiTheme="majorHAnsi"/>
                <w:color w:val="000000"/>
                <w:sz w:val="18"/>
                <w:szCs w:val="18"/>
                <w:lang w:eastAsia="es-CO"/>
              </w:rPr>
              <w:t>Años establecimiento***</w:t>
            </w:r>
          </w:p>
        </w:tc>
        <w:tc>
          <w:tcPr>
            <w:tcW w:w="653" w:type="pct"/>
            <w:noWrap/>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DE1231">
              <w:rPr>
                <w:rFonts w:asciiTheme="majorHAnsi" w:eastAsia="Times New Roman" w:hAnsiTheme="majorHAnsi"/>
                <w:color w:val="000000"/>
                <w:sz w:val="18"/>
                <w:szCs w:val="18"/>
                <w:lang w:eastAsia="es-CO"/>
              </w:rPr>
              <w:t>5</w:t>
            </w:r>
          </w:p>
        </w:tc>
        <w:tc>
          <w:tcPr>
            <w:tcW w:w="739" w:type="pct"/>
            <w:noWrap/>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DE1231">
              <w:rPr>
                <w:rFonts w:asciiTheme="majorHAnsi" w:eastAsia="Times New Roman" w:hAnsiTheme="majorHAnsi"/>
                <w:color w:val="000000"/>
                <w:sz w:val="18"/>
                <w:szCs w:val="18"/>
                <w:lang w:eastAsia="es-CO"/>
              </w:rPr>
              <w:t>5</w:t>
            </w:r>
          </w:p>
        </w:tc>
        <w:tc>
          <w:tcPr>
            <w:tcW w:w="753" w:type="pct"/>
            <w:noWrap/>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DE1231">
              <w:rPr>
                <w:rFonts w:asciiTheme="majorHAnsi" w:eastAsia="Times New Roman" w:hAnsiTheme="majorHAnsi"/>
                <w:color w:val="000000"/>
                <w:sz w:val="18"/>
                <w:szCs w:val="18"/>
                <w:lang w:eastAsia="es-CO"/>
              </w:rPr>
              <w:t>5</w:t>
            </w:r>
          </w:p>
        </w:tc>
        <w:tc>
          <w:tcPr>
            <w:tcW w:w="719" w:type="pct"/>
            <w:noWrap/>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DE1231">
              <w:rPr>
                <w:rFonts w:asciiTheme="majorHAnsi" w:eastAsia="Times New Roman" w:hAnsiTheme="majorHAnsi"/>
                <w:color w:val="000000"/>
                <w:sz w:val="18"/>
                <w:szCs w:val="18"/>
                <w:lang w:eastAsia="es-CO"/>
              </w:rPr>
              <w:t>5</w:t>
            </w:r>
          </w:p>
        </w:tc>
      </w:tr>
      <w:tr w:rsidR="00DE1231" w:rsidRPr="00DE1231" w:rsidTr="00A243FB">
        <w:trPr>
          <w:trHeight w:val="20"/>
        </w:trPr>
        <w:tc>
          <w:tcPr>
            <w:cnfStyle w:val="001000000000" w:firstRow="0" w:lastRow="0" w:firstColumn="1" w:lastColumn="0" w:oddVBand="0" w:evenVBand="0" w:oddHBand="0" w:evenHBand="0" w:firstRowFirstColumn="0" w:firstRowLastColumn="0" w:lastRowFirstColumn="0" w:lastRowLastColumn="0"/>
            <w:tcW w:w="849" w:type="pct"/>
            <w:vMerge/>
            <w:tcBorders>
              <w:left w:val="none" w:sz="0" w:space="0" w:color="auto"/>
            </w:tcBorders>
            <w:vAlign w:val="center"/>
            <w:hideMark/>
          </w:tcPr>
          <w:p w:rsidR="00DE1231" w:rsidRPr="00DE1231" w:rsidRDefault="00DE1231" w:rsidP="00A243FB">
            <w:pPr>
              <w:spacing w:line="240" w:lineRule="auto"/>
              <w:contextualSpacing w:val="0"/>
              <w:jc w:val="center"/>
              <w:rPr>
                <w:rFonts w:asciiTheme="majorHAnsi" w:eastAsia="Times New Roman" w:hAnsiTheme="majorHAnsi"/>
                <w:b/>
                <w:bCs/>
                <w:color w:val="000000"/>
                <w:sz w:val="18"/>
                <w:szCs w:val="18"/>
                <w:lang w:eastAsia="es-CO"/>
              </w:rPr>
            </w:pPr>
          </w:p>
        </w:tc>
        <w:tc>
          <w:tcPr>
            <w:tcW w:w="1288" w:type="pct"/>
            <w:gridSpan w:val="2"/>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000000"/>
                <w:sz w:val="18"/>
                <w:szCs w:val="18"/>
                <w:lang w:eastAsia="es-CO"/>
              </w:rPr>
            </w:pPr>
            <w:r w:rsidRPr="00DE1231">
              <w:rPr>
                <w:rFonts w:asciiTheme="majorHAnsi" w:eastAsia="Times New Roman" w:hAnsiTheme="majorHAnsi"/>
                <w:b/>
                <w:bCs/>
                <w:color w:val="000000"/>
                <w:sz w:val="18"/>
                <w:szCs w:val="18"/>
                <w:lang w:eastAsia="es-CO"/>
              </w:rPr>
              <w:t>Valor Total Pesos ($)</w:t>
            </w:r>
          </w:p>
        </w:tc>
        <w:tc>
          <w:tcPr>
            <w:tcW w:w="653" w:type="pct"/>
            <w:noWrap/>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000000"/>
                <w:sz w:val="18"/>
                <w:szCs w:val="18"/>
                <w:lang w:eastAsia="es-CO"/>
              </w:rPr>
            </w:pPr>
            <w:r w:rsidRPr="00DE1231">
              <w:rPr>
                <w:rFonts w:asciiTheme="majorHAnsi" w:eastAsia="Times New Roman" w:hAnsiTheme="majorHAnsi"/>
                <w:b/>
                <w:bCs/>
                <w:color w:val="000000"/>
                <w:sz w:val="18"/>
                <w:szCs w:val="18"/>
                <w:lang w:eastAsia="es-CO"/>
              </w:rPr>
              <w:t>9.100.000</w:t>
            </w:r>
          </w:p>
        </w:tc>
        <w:tc>
          <w:tcPr>
            <w:tcW w:w="739" w:type="pct"/>
            <w:noWrap/>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000000"/>
                <w:sz w:val="18"/>
                <w:szCs w:val="18"/>
                <w:lang w:eastAsia="es-CO"/>
              </w:rPr>
            </w:pPr>
            <w:r w:rsidRPr="00DE1231">
              <w:rPr>
                <w:rFonts w:asciiTheme="majorHAnsi" w:eastAsia="Times New Roman" w:hAnsiTheme="majorHAnsi"/>
                <w:b/>
                <w:bCs/>
                <w:color w:val="000000"/>
                <w:sz w:val="18"/>
                <w:szCs w:val="18"/>
                <w:lang w:eastAsia="es-CO"/>
              </w:rPr>
              <w:t>30.290.000</w:t>
            </w:r>
          </w:p>
        </w:tc>
        <w:tc>
          <w:tcPr>
            <w:tcW w:w="753" w:type="pct"/>
            <w:noWrap/>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000000"/>
                <w:sz w:val="18"/>
                <w:szCs w:val="18"/>
                <w:lang w:eastAsia="es-CO"/>
              </w:rPr>
            </w:pPr>
            <w:r w:rsidRPr="00DE1231">
              <w:rPr>
                <w:rFonts w:asciiTheme="majorHAnsi" w:eastAsia="Times New Roman" w:hAnsiTheme="majorHAnsi"/>
                <w:b/>
                <w:bCs/>
                <w:color w:val="000000"/>
                <w:sz w:val="18"/>
                <w:szCs w:val="18"/>
                <w:lang w:eastAsia="es-CO"/>
              </w:rPr>
              <w:t>38.350.000</w:t>
            </w:r>
          </w:p>
        </w:tc>
        <w:tc>
          <w:tcPr>
            <w:tcW w:w="719" w:type="pct"/>
            <w:noWrap/>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000000"/>
                <w:sz w:val="18"/>
                <w:szCs w:val="18"/>
                <w:lang w:eastAsia="es-CO"/>
              </w:rPr>
            </w:pPr>
            <w:r w:rsidRPr="00DE1231">
              <w:rPr>
                <w:rFonts w:asciiTheme="majorHAnsi" w:eastAsia="Times New Roman" w:hAnsiTheme="majorHAnsi"/>
                <w:b/>
                <w:bCs/>
                <w:color w:val="000000"/>
                <w:sz w:val="18"/>
                <w:szCs w:val="18"/>
                <w:lang w:eastAsia="es-CO"/>
              </w:rPr>
              <w:t>77.740.000</w:t>
            </w:r>
          </w:p>
        </w:tc>
      </w:tr>
      <w:tr w:rsidR="00DE1231" w:rsidRPr="00DE1231" w:rsidTr="00A243FB">
        <w:trPr>
          <w:trHeight w:val="20"/>
        </w:trPr>
        <w:tc>
          <w:tcPr>
            <w:cnfStyle w:val="001000000000" w:firstRow="0" w:lastRow="0" w:firstColumn="1" w:lastColumn="0" w:oddVBand="0" w:evenVBand="0" w:oddHBand="0" w:evenHBand="0" w:firstRowFirstColumn="0" w:firstRowLastColumn="0" w:lastRowFirstColumn="0" w:lastRowLastColumn="0"/>
            <w:tcW w:w="849" w:type="pct"/>
            <w:vMerge/>
            <w:tcBorders>
              <w:left w:val="none" w:sz="0" w:space="0" w:color="auto"/>
            </w:tcBorders>
            <w:vAlign w:val="center"/>
            <w:hideMark/>
          </w:tcPr>
          <w:p w:rsidR="00DE1231" w:rsidRPr="00DE1231" w:rsidRDefault="00DE1231" w:rsidP="00A243FB">
            <w:pPr>
              <w:spacing w:line="240" w:lineRule="auto"/>
              <w:contextualSpacing w:val="0"/>
              <w:jc w:val="center"/>
              <w:rPr>
                <w:rFonts w:asciiTheme="majorHAnsi" w:eastAsia="Times New Roman" w:hAnsiTheme="majorHAnsi"/>
                <w:b/>
                <w:bCs/>
                <w:color w:val="000000"/>
                <w:sz w:val="18"/>
                <w:szCs w:val="18"/>
                <w:lang w:eastAsia="es-CO"/>
              </w:rPr>
            </w:pPr>
          </w:p>
        </w:tc>
        <w:tc>
          <w:tcPr>
            <w:tcW w:w="1288" w:type="pct"/>
            <w:gridSpan w:val="2"/>
            <w:noWrap/>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DE1231">
              <w:rPr>
                <w:rFonts w:asciiTheme="majorHAnsi" w:eastAsia="Times New Roman" w:hAnsiTheme="majorHAnsi"/>
                <w:color w:val="000000"/>
                <w:sz w:val="18"/>
                <w:szCs w:val="18"/>
                <w:lang w:eastAsia="es-CO"/>
              </w:rPr>
              <w:t>Valor Presente Neto ($)</w:t>
            </w:r>
          </w:p>
        </w:tc>
        <w:tc>
          <w:tcPr>
            <w:tcW w:w="653" w:type="pct"/>
            <w:noWrap/>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DE1231">
              <w:rPr>
                <w:rFonts w:asciiTheme="majorHAnsi" w:eastAsia="Times New Roman" w:hAnsiTheme="majorHAnsi"/>
                <w:color w:val="000000"/>
                <w:sz w:val="18"/>
                <w:szCs w:val="18"/>
                <w:lang w:eastAsia="es-CO"/>
              </w:rPr>
              <w:t>8.125.000</w:t>
            </w:r>
          </w:p>
        </w:tc>
        <w:tc>
          <w:tcPr>
            <w:tcW w:w="739" w:type="pct"/>
            <w:noWrap/>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DE1231">
              <w:rPr>
                <w:rFonts w:asciiTheme="majorHAnsi" w:eastAsia="Times New Roman" w:hAnsiTheme="majorHAnsi"/>
                <w:color w:val="000000"/>
                <w:sz w:val="18"/>
                <w:szCs w:val="18"/>
                <w:lang w:eastAsia="es-CO"/>
              </w:rPr>
              <w:t>27.044.643</w:t>
            </w:r>
          </w:p>
        </w:tc>
        <w:tc>
          <w:tcPr>
            <w:tcW w:w="753" w:type="pct"/>
            <w:noWrap/>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DE1231">
              <w:rPr>
                <w:rFonts w:asciiTheme="majorHAnsi" w:eastAsia="Times New Roman" w:hAnsiTheme="majorHAnsi"/>
                <w:color w:val="000000"/>
                <w:sz w:val="18"/>
                <w:szCs w:val="18"/>
                <w:lang w:eastAsia="es-CO"/>
              </w:rPr>
              <w:t>34.241.071</w:t>
            </w:r>
          </w:p>
        </w:tc>
        <w:tc>
          <w:tcPr>
            <w:tcW w:w="719" w:type="pct"/>
            <w:noWrap/>
            <w:vAlign w:val="center"/>
            <w:hideMark/>
          </w:tcPr>
          <w:p w:rsidR="00DE1231" w:rsidRPr="00DE1231" w:rsidRDefault="00DE1231"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DE1231">
              <w:rPr>
                <w:rFonts w:asciiTheme="majorHAnsi" w:eastAsia="Times New Roman" w:hAnsiTheme="majorHAnsi"/>
                <w:color w:val="000000"/>
                <w:sz w:val="18"/>
                <w:szCs w:val="18"/>
                <w:lang w:eastAsia="es-CO"/>
              </w:rPr>
              <w:t>69.410.714</w:t>
            </w:r>
          </w:p>
        </w:tc>
      </w:tr>
    </w:tbl>
    <w:p w:rsidR="00DE1231" w:rsidRPr="00AA0A2C" w:rsidRDefault="008F3A5D" w:rsidP="00A243FB">
      <w:pPr>
        <w:pStyle w:val="Notas"/>
      </w:pPr>
      <w:r>
        <w:t>Fuente</w:t>
      </w:r>
      <w:r w:rsidR="00DE1231" w:rsidRPr="00AA0A2C">
        <w:t>: Autopista Rio Magdalena S.A.S., 2016.</w:t>
      </w:r>
    </w:p>
    <w:p w:rsidR="005645E8" w:rsidRPr="005645E8" w:rsidRDefault="005645E8" w:rsidP="005645E8">
      <w:pPr>
        <w:rPr>
          <w:rFonts w:asciiTheme="majorHAnsi" w:hAnsiTheme="majorHAnsi"/>
          <w:sz w:val="18"/>
        </w:rPr>
      </w:pPr>
      <w:r w:rsidRPr="005645E8">
        <w:rPr>
          <w:rFonts w:asciiTheme="majorHAnsi" w:hAnsiTheme="majorHAnsi"/>
          <w:sz w:val="18"/>
        </w:rPr>
        <w:t>*: Equivale al valor medio de la precipitación promedio de la zona. Ya que una vez establecido el volumen de agua aportado al suelo en el ítem de regulación hídrica, se estima que el valor retenido en el sedimento llega a ser del 50% del volumen total, ya que por la escorrentía y evaporación se pierde una fracción del volumen que genera la precipitación por lo tanto se estima este valor para el cálculo de la regulación por retención de sedimentos.</w:t>
      </w:r>
      <w:r w:rsidRPr="005645E8">
        <w:rPr>
          <w:rFonts w:asciiTheme="majorHAnsi" w:hAnsiTheme="majorHAnsi"/>
          <w:sz w:val="18"/>
        </w:rPr>
        <w:tab/>
      </w:r>
      <w:r w:rsidRPr="005645E8">
        <w:rPr>
          <w:rFonts w:asciiTheme="majorHAnsi" w:hAnsiTheme="majorHAnsi"/>
          <w:sz w:val="18"/>
        </w:rPr>
        <w:tab/>
      </w:r>
      <w:r w:rsidRPr="005645E8">
        <w:rPr>
          <w:rFonts w:asciiTheme="majorHAnsi" w:hAnsiTheme="majorHAnsi"/>
          <w:sz w:val="18"/>
        </w:rPr>
        <w:tab/>
      </w:r>
      <w:r w:rsidRPr="005645E8">
        <w:rPr>
          <w:rFonts w:asciiTheme="majorHAnsi" w:hAnsiTheme="majorHAnsi"/>
          <w:sz w:val="18"/>
        </w:rPr>
        <w:tab/>
      </w:r>
      <w:r w:rsidRPr="005645E8">
        <w:rPr>
          <w:rFonts w:asciiTheme="majorHAnsi" w:hAnsiTheme="majorHAnsi"/>
          <w:sz w:val="18"/>
        </w:rPr>
        <w:tab/>
      </w:r>
      <w:r w:rsidRPr="005645E8">
        <w:rPr>
          <w:rFonts w:asciiTheme="majorHAnsi" w:hAnsiTheme="majorHAnsi"/>
          <w:sz w:val="18"/>
        </w:rPr>
        <w:tab/>
      </w:r>
    </w:p>
    <w:p w:rsidR="005645E8" w:rsidRPr="005645E8" w:rsidRDefault="005645E8" w:rsidP="005645E8">
      <w:pPr>
        <w:rPr>
          <w:rFonts w:asciiTheme="majorHAnsi" w:hAnsiTheme="majorHAnsi"/>
          <w:sz w:val="18"/>
        </w:rPr>
      </w:pPr>
      <w:r w:rsidRPr="005645E8">
        <w:rPr>
          <w:rFonts w:asciiTheme="majorHAnsi" w:hAnsiTheme="majorHAnsi"/>
          <w:sz w:val="18"/>
        </w:rPr>
        <w:t>**: El valor del tratamiento por turbidez del agua es de $200/m3, este valor se obtiene de consultas a firmas que hacen tratamientos de agua y el dato final lo suministró el Doctor Joaquín Fonseca, Ingeniero Químico de la Universidad Nacional, Master en Ingeniería Sanitaria de la misma Universidad y con más de 30 años de experiencia en temas de aguas residuales.</w:t>
      </w:r>
      <w:r w:rsidRPr="005645E8">
        <w:rPr>
          <w:rFonts w:asciiTheme="majorHAnsi" w:hAnsiTheme="majorHAnsi"/>
          <w:sz w:val="18"/>
        </w:rPr>
        <w:tab/>
      </w:r>
      <w:r w:rsidRPr="005645E8">
        <w:rPr>
          <w:rFonts w:asciiTheme="majorHAnsi" w:hAnsiTheme="majorHAnsi"/>
          <w:sz w:val="18"/>
        </w:rPr>
        <w:tab/>
      </w:r>
      <w:r w:rsidRPr="005645E8">
        <w:rPr>
          <w:rFonts w:asciiTheme="majorHAnsi" w:hAnsiTheme="majorHAnsi"/>
          <w:sz w:val="18"/>
        </w:rPr>
        <w:tab/>
      </w:r>
      <w:r w:rsidRPr="005645E8">
        <w:rPr>
          <w:rFonts w:asciiTheme="majorHAnsi" w:hAnsiTheme="majorHAnsi"/>
          <w:sz w:val="18"/>
        </w:rPr>
        <w:tab/>
      </w:r>
      <w:r w:rsidRPr="005645E8">
        <w:rPr>
          <w:rFonts w:asciiTheme="majorHAnsi" w:hAnsiTheme="majorHAnsi"/>
          <w:sz w:val="18"/>
        </w:rPr>
        <w:tab/>
      </w:r>
      <w:r w:rsidRPr="005645E8">
        <w:rPr>
          <w:rFonts w:asciiTheme="majorHAnsi" w:hAnsiTheme="majorHAnsi"/>
          <w:sz w:val="18"/>
        </w:rPr>
        <w:tab/>
      </w:r>
    </w:p>
    <w:p w:rsidR="005645E8" w:rsidRPr="005645E8" w:rsidRDefault="005645E8" w:rsidP="005645E8">
      <w:pPr>
        <w:rPr>
          <w:rFonts w:asciiTheme="majorHAnsi" w:hAnsiTheme="majorHAnsi"/>
          <w:sz w:val="18"/>
        </w:rPr>
      </w:pPr>
      <w:r w:rsidRPr="005645E8">
        <w:rPr>
          <w:rFonts w:asciiTheme="majorHAnsi" w:hAnsiTheme="majorHAnsi"/>
          <w:sz w:val="18"/>
        </w:rPr>
        <w:t>***: Se considera un periodo de cinco años en los que no habrá ganancias de captura de CO2, un primer año durante la tala y la plantación y cuatro años que tarda en recuperarse el bosque según Marwin Melga, 2006</w:t>
      </w:r>
      <w:r>
        <w:rPr>
          <w:rFonts w:asciiTheme="majorHAnsi" w:hAnsiTheme="majorHAnsi"/>
          <w:sz w:val="18"/>
        </w:rPr>
        <w:t>.</w:t>
      </w:r>
    </w:p>
    <w:p w:rsidR="00AA0A2C" w:rsidRPr="00AA0A2C" w:rsidRDefault="00AA0A2C" w:rsidP="00AA0A2C">
      <w:pPr>
        <w:rPr>
          <w:rFonts w:asciiTheme="majorHAnsi" w:hAnsiTheme="majorHAnsi"/>
        </w:rPr>
      </w:pPr>
    </w:p>
    <w:p w:rsidR="00AA0A2C" w:rsidRPr="00AA0A2C" w:rsidRDefault="00AA0A2C" w:rsidP="00AA0A2C">
      <w:pPr>
        <w:rPr>
          <w:rFonts w:asciiTheme="majorHAnsi" w:hAnsiTheme="majorHAnsi"/>
          <w:b/>
          <w:vertAlign w:val="subscript"/>
        </w:rPr>
      </w:pPr>
      <w:r w:rsidRPr="00AA0A2C">
        <w:rPr>
          <w:rFonts w:asciiTheme="majorHAnsi" w:hAnsiTheme="majorHAnsi"/>
          <w:b/>
        </w:rPr>
        <w:t>Disminución en la capacidad de captura de CO</w:t>
      </w:r>
      <w:r w:rsidRPr="00AA0A2C">
        <w:rPr>
          <w:rFonts w:asciiTheme="majorHAnsi" w:hAnsiTheme="majorHAnsi"/>
          <w:b/>
          <w:vertAlign w:val="subscript"/>
        </w:rPr>
        <w:t>2</w:t>
      </w:r>
    </w:p>
    <w:p w:rsidR="00AA0A2C" w:rsidRPr="00AA0A2C" w:rsidRDefault="00AA0A2C" w:rsidP="00AA0A2C">
      <w:pPr>
        <w:rPr>
          <w:rFonts w:asciiTheme="majorHAnsi" w:hAnsiTheme="majorHAnsi"/>
          <w:b/>
        </w:rPr>
      </w:pPr>
    </w:p>
    <w:p w:rsidR="00AA0A2C" w:rsidRPr="00AA0A2C" w:rsidRDefault="00AA0A2C" w:rsidP="00AA0A2C">
      <w:pPr>
        <w:rPr>
          <w:rFonts w:asciiTheme="majorHAnsi" w:hAnsiTheme="majorHAnsi" w:cs="Arial"/>
        </w:rPr>
      </w:pPr>
      <w:r w:rsidRPr="00AA0A2C">
        <w:rPr>
          <w:rFonts w:asciiTheme="majorHAnsi" w:hAnsiTheme="majorHAnsi" w:cs="Arial"/>
          <w:lang w:val="es-MX"/>
        </w:rPr>
        <w:t>Una hectárea reforestada puede aumentar la captura de CO</w:t>
      </w:r>
      <w:r w:rsidRPr="00AA0A2C">
        <w:rPr>
          <w:rFonts w:asciiTheme="majorHAnsi" w:hAnsiTheme="majorHAnsi" w:cs="Arial"/>
          <w:vertAlign w:val="subscript"/>
          <w:lang w:val="es-MX"/>
        </w:rPr>
        <w:t>2</w:t>
      </w:r>
      <w:r w:rsidRPr="00AA0A2C">
        <w:rPr>
          <w:rFonts w:asciiTheme="majorHAnsi" w:hAnsiTheme="majorHAnsi" w:cs="Arial"/>
          <w:lang w:val="es-MX"/>
        </w:rPr>
        <w:t xml:space="preserve">. </w:t>
      </w:r>
      <w:r w:rsidRPr="00AA0A2C">
        <w:rPr>
          <w:rFonts w:asciiTheme="majorHAnsi" w:hAnsiTheme="majorHAnsi" w:cs="Arial"/>
        </w:rPr>
        <w:t>¿Cuántas hectáreas con árboles necesitaríamos plantar para compensar nuestras emisiones contaminantes de dióxido de carbono (CO</w:t>
      </w:r>
      <w:r w:rsidRPr="00AA0A2C">
        <w:rPr>
          <w:rFonts w:asciiTheme="majorHAnsi" w:hAnsiTheme="majorHAnsi" w:cs="Arial"/>
          <w:vertAlign w:val="subscript"/>
        </w:rPr>
        <w:t>2</w:t>
      </w:r>
      <w:r w:rsidRPr="00AA0A2C">
        <w:rPr>
          <w:rFonts w:asciiTheme="majorHAnsi" w:hAnsiTheme="majorHAnsi" w:cs="Arial"/>
        </w:rPr>
        <w:t>)? La captura de carbono (CO</w:t>
      </w:r>
      <w:r w:rsidRPr="00AA0A2C">
        <w:rPr>
          <w:rFonts w:asciiTheme="majorHAnsi" w:hAnsiTheme="majorHAnsi" w:cs="Arial"/>
          <w:vertAlign w:val="subscript"/>
        </w:rPr>
        <w:t>2</w:t>
      </w:r>
      <w:r w:rsidRPr="00AA0A2C">
        <w:rPr>
          <w:rFonts w:asciiTheme="majorHAnsi" w:hAnsiTheme="majorHAnsi" w:cs="Arial"/>
        </w:rPr>
        <w:t xml:space="preserve"> atmosférico causante del Calentamiento Global) ocurre únicamente durante el desarrollo de los árboles, y se detiene cuando los árboles llegan a su madurez total. Los árboles absorben dióxido de carbono (CO</w:t>
      </w:r>
      <w:r w:rsidRPr="00AA0A2C">
        <w:rPr>
          <w:rFonts w:asciiTheme="majorHAnsi" w:hAnsiTheme="majorHAnsi" w:cs="Arial"/>
          <w:vertAlign w:val="subscript"/>
        </w:rPr>
        <w:t>2</w:t>
      </w:r>
      <w:r w:rsidRPr="00AA0A2C">
        <w:rPr>
          <w:rFonts w:asciiTheme="majorHAnsi" w:hAnsiTheme="majorHAnsi" w:cs="Arial"/>
        </w:rPr>
        <w:t>) atmosférico junto con elementos en suelos y aire para convertirlos en madera que contiene carbono y forma parte de troncos y ramas. La cantidad de CO</w:t>
      </w:r>
      <w:r w:rsidRPr="00AA0A2C">
        <w:rPr>
          <w:rFonts w:asciiTheme="majorHAnsi" w:hAnsiTheme="majorHAnsi" w:cs="Arial"/>
          <w:vertAlign w:val="subscript"/>
        </w:rPr>
        <w:t xml:space="preserve">2 </w:t>
      </w:r>
      <w:r w:rsidRPr="00AA0A2C">
        <w:rPr>
          <w:rFonts w:asciiTheme="majorHAnsi" w:hAnsiTheme="majorHAnsi" w:cs="Arial"/>
        </w:rPr>
        <w:t>que el árbol captura durante un año, consiste sólo en el pequeño incremento anual que se presenta en la biomasa del árbol (madera) multiplicado por la biomasa del árbol que contiene carbono.</w:t>
      </w:r>
    </w:p>
    <w:p w:rsidR="00AA0A2C" w:rsidRPr="00AA0A2C" w:rsidRDefault="00AA0A2C" w:rsidP="00AA0A2C">
      <w:pPr>
        <w:rPr>
          <w:rFonts w:asciiTheme="majorHAnsi" w:hAnsiTheme="majorHAnsi" w:cs="Arial"/>
        </w:rPr>
      </w:pPr>
    </w:p>
    <w:p w:rsidR="00AA0A2C" w:rsidRPr="00AA0A2C" w:rsidRDefault="00AA0A2C" w:rsidP="00AA0A2C">
      <w:pPr>
        <w:rPr>
          <w:rFonts w:asciiTheme="majorHAnsi" w:hAnsiTheme="majorHAnsi" w:cs="Arial"/>
        </w:rPr>
      </w:pPr>
      <w:r w:rsidRPr="00AA0A2C">
        <w:rPr>
          <w:rFonts w:asciiTheme="majorHAnsi" w:hAnsiTheme="majorHAnsi" w:cs="Arial"/>
        </w:rPr>
        <w:t>Aproximadamente 42% a 50% de la biomasa de un árbol (materia seca) es carbono. Hay una captura de carbono neta, únicamente mientras el árbol se desarrolla para alcanzar madurez. Cuando el árbol muere, emite la misma cantidad de carbono que capturó. Un bosque en plena madurez aporta finalmente la misma cantidad de carbono que captura. Lo primordial es cuanto carbono (CO</w:t>
      </w:r>
      <w:r w:rsidRPr="00AA0A2C">
        <w:rPr>
          <w:rFonts w:asciiTheme="majorHAnsi" w:hAnsiTheme="majorHAnsi" w:cs="Arial"/>
          <w:vertAlign w:val="subscript"/>
        </w:rPr>
        <w:t>2</w:t>
      </w:r>
      <w:r w:rsidRPr="00AA0A2C">
        <w:rPr>
          <w:rFonts w:asciiTheme="majorHAnsi" w:hAnsiTheme="majorHAnsi" w:cs="Arial"/>
        </w:rPr>
        <w:t>) captura el árbol durante toda su vida.</w:t>
      </w:r>
    </w:p>
    <w:p w:rsidR="00AA0A2C" w:rsidRPr="00AA0A2C" w:rsidRDefault="00AA0A2C" w:rsidP="00AA0A2C">
      <w:pPr>
        <w:rPr>
          <w:rFonts w:asciiTheme="majorHAnsi" w:hAnsiTheme="majorHAnsi" w:cs="Arial"/>
        </w:rPr>
      </w:pPr>
    </w:p>
    <w:p w:rsidR="00AA0A2C" w:rsidRPr="00AA0A2C" w:rsidRDefault="00AA0A2C" w:rsidP="00AA0A2C">
      <w:pPr>
        <w:rPr>
          <w:rFonts w:asciiTheme="majorHAnsi" w:hAnsiTheme="majorHAnsi" w:cs="Arial"/>
        </w:rPr>
      </w:pPr>
      <w:r w:rsidRPr="00AA0A2C">
        <w:rPr>
          <w:rFonts w:asciiTheme="majorHAnsi" w:hAnsiTheme="majorHAnsi" w:cs="Arial"/>
        </w:rPr>
        <w:t>Los árboles, al convertir el CO</w:t>
      </w:r>
      <w:r w:rsidRPr="00AA0A2C">
        <w:rPr>
          <w:rFonts w:asciiTheme="majorHAnsi" w:hAnsiTheme="majorHAnsi" w:cs="Arial"/>
          <w:vertAlign w:val="subscript"/>
        </w:rPr>
        <w:t xml:space="preserve">2 </w:t>
      </w:r>
      <w:r w:rsidRPr="00AA0A2C">
        <w:rPr>
          <w:rFonts w:asciiTheme="majorHAnsi" w:hAnsiTheme="majorHAnsi" w:cs="Arial"/>
        </w:rPr>
        <w:t>en madera, almacenan muy lentamente sólo una pequeña parte del CO</w:t>
      </w:r>
      <w:r w:rsidRPr="00AA0A2C">
        <w:rPr>
          <w:rFonts w:asciiTheme="majorHAnsi" w:hAnsiTheme="majorHAnsi" w:cs="Arial"/>
          <w:vertAlign w:val="subscript"/>
        </w:rPr>
        <w:t xml:space="preserve">2 </w:t>
      </w:r>
      <w:r w:rsidRPr="00AA0A2C">
        <w:rPr>
          <w:rFonts w:asciiTheme="majorHAnsi" w:hAnsiTheme="majorHAnsi" w:cs="Arial"/>
        </w:rPr>
        <w:t>que producimos en grandes cantidades por el uso de combustibles fósiles (petróleo, gasolina, gas, etc.) para el transporte y la generación de energía eléctrica en las actividades humanas que diariamente contaminan el medio ambiente. Después de varios años, cuando los árboles han llegado a su madurez total, absorben (capturan) únicamente pequeñas cantidades de CO</w:t>
      </w:r>
      <w:r w:rsidRPr="00AA0A2C">
        <w:rPr>
          <w:rFonts w:asciiTheme="majorHAnsi" w:hAnsiTheme="majorHAnsi" w:cs="Arial"/>
          <w:vertAlign w:val="subscript"/>
        </w:rPr>
        <w:t xml:space="preserve">2 </w:t>
      </w:r>
      <w:r w:rsidRPr="00AA0A2C">
        <w:rPr>
          <w:rFonts w:asciiTheme="majorHAnsi" w:hAnsiTheme="majorHAnsi" w:cs="Arial"/>
        </w:rPr>
        <w:t>necesarias para su respiración y la de los suelos.</w:t>
      </w:r>
    </w:p>
    <w:p w:rsidR="00AA0A2C" w:rsidRPr="00AA0A2C" w:rsidRDefault="00AA0A2C" w:rsidP="00AA0A2C">
      <w:pPr>
        <w:rPr>
          <w:rFonts w:asciiTheme="majorHAnsi" w:hAnsiTheme="majorHAnsi" w:cs="Arial"/>
        </w:rPr>
      </w:pPr>
    </w:p>
    <w:p w:rsidR="00AA0A2C" w:rsidRPr="00AA0A2C" w:rsidRDefault="00AA0A2C" w:rsidP="00AA0A2C">
      <w:pPr>
        <w:rPr>
          <w:rFonts w:asciiTheme="majorHAnsi" w:hAnsiTheme="majorHAnsi" w:cs="Arial"/>
        </w:rPr>
      </w:pPr>
      <w:r w:rsidRPr="00AA0A2C">
        <w:rPr>
          <w:rFonts w:asciiTheme="majorHAnsi" w:hAnsiTheme="majorHAnsi" w:cs="Arial"/>
        </w:rPr>
        <w:t>El dióxido de carbono atmosférico (CO</w:t>
      </w:r>
      <w:r w:rsidRPr="00AA0A2C">
        <w:rPr>
          <w:rFonts w:asciiTheme="majorHAnsi" w:hAnsiTheme="majorHAnsi" w:cs="Arial"/>
          <w:vertAlign w:val="subscript"/>
        </w:rPr>
        <w:t>2</w:t>
      </w:r>
      <w:r w:rsidRPr="00AA0A2C">
        <w:rPr>
          <w:rFonts w:asciiTheme="majorHAnsi" w:hAnsiTheme="majorHAnsi" w:cs="Arial"/>
        </w:rPr>
        <w:t>) es absorbido por los árboles mediante la fotosíntesis, y es almacenado en forma de materia orgánica (biomasa-madera). El CO</w:t>
      </w:r>
      <w:r w:rsidRPr="00AA0A2C">
        <w:rPr>
          <w:rFonts w:asciiTheme="majorHAnsi" w:hAnsiTheme="majorHAnsi" w:cs="Arial"/>
          <w:vertAlign w:val="subscript"/>
        </w:rPr>
        <w:t xml:space="preserve">2 </w:t>
      </w:r>
      <w:r w:rsidRPr="00AA0A2C">
        <w:rPr>
          <w:rFonts w:asciiTheme="majorHAnsi" w:hAnsiTheme="majorHAnsi" w:cs="Arial"/>
        </w:rPr>
        <w:t>regresa a la atmósfera mediante la respiración de los árboles y las plantas, y por descomposición de la materia orgánica muerta en los suelos (oxidación).</w:t>
      </w:r>
    </w:p>
    <w:p w:rsidR="00AA0A2C" w:rsidRPr="00AA0A2C" w:rsidRDefault="00AA0A2C" w:rsidP="00AA0A2C">
      <w:pPr>
        <w:rPr>
          <w:rFonts w:asciiTheme="majorHAnsi" w:hAnsiTheme="majorHAnsi" w:cs="Arial"/>
        </w:rPr>
      </w:pPr>
    </w:p>
    <w:p w:rsidR="00AA0A2C" w:rsidRPr="00AA0A2C" w:rsidRDefault="00AA0A2C" w:rsidP="00AA0A2C">
      <w:pPr>
        <w:rPr>
          <w:rFonts w:asciiTheme="majorHAnsi" w:hAnsiTheme="majorHAnsi" w:cs="Arial"/>
        </w:rPr>
      </w:pPr>
      <w:r w:rsidRPr="00AA0A2C">
        <w:rPr>
          <w:rFonts w:asciiTheme="majorHAnsi" w:hAnsiTheme="majorHAnsi" w:cs="Arial"/>
        </w:rPr>
        <w:t>Estimaciones sobre captura de carbono durante 100 años oscilan entre 75 y 200 toneladas por hectárea, dependiendo del tipo de árbol y de la cantidad de árboles sembrados en una hectárea. Se puede asumir que una tonelada de carbono en la madera de un árbol o de un bosque, equivale a 3.5 toneladas aproximadamente de CO</w:t>
      </w:r>
      <w:r w:rsidRPr="00AA0A2C">
        <w:rPr>
          <w:rFonts w:asciiTheme="majorHAnsi" w:hAnsiTheme="majorHAnsi" w:cs="Arial"/>
          <w:vertAlign w:val="subscript"/>
        </w:rPr>
        <w:t xml:space="preserve">2 </w:t>
      </w:r>
      <w:r w:rsidRPr="00AA0A2C">
        <w:rPr>
          <w:rFonts w:asciiTheme="majorHAnsi" w:hAnsiTheme="majorHAnsi" w:cs="Arial"/>
        </w:rPr>
        <w:t xml:space="preserve">atmosférico. </w:t>
      </w:r>
    </w:p>
    <w:p w:rsidR="00AA0A2C" w:rsidRPr="00AA0A2C" w:rsidRDefault="00AA0A2C" w:rsidP="00AA0A2C">
      <w:pPr>
        <w:rPr>
          <w:rFonts w:asciiTheme="majorHAnsi" w:hAnsiTheme="majorHAnsi" w:cs="Arial"/>
        </w:rPr>
      </w:pPr>
    </w:p>
    <w:p w:rsidR="00AA0A2C" w:rsidRPr="00AA0A2C" w:rsidRDefault="00AA0A2C" w:rsidP="00AA0A2C">
      <w:pPr>
        <w:rPr>
          <w:rFonts w:asciiTheme="majorHAnsi" w:hAnsiTheme="majorHAnsi" w:cs="Arial"/>
        </w:rPr>
      </w:pPr>
      <w:r w:rsidRPr="00AA0A2C">
        <w:rPr>
          <w:rFonts w:asciiTheme="majorHAnsi" w:hAnsiTheme="majorHAnsi" w:cs="Arial"/>
        </w:rPr>
        <w:t>De acuerdo con lo anterior se han establecido los siguientes criterios para la valoración:</w:t>
      </w:r>
    </w:p>
    <w:p w:rsidR="00AA0A2C" w:rsidRPr="00AA0A2C" w:rsidRDefault="00AA0A2C" w:rsidP="00AA0A2C">
      <w:pPr>
        <w:rPr>
          <w:rFonts w:asciiTheme="majorHAnsi" w:hAnsiTheme="majorHAnsi" w:cs="Arial"/>
        </w:rPr>
      </w:pPr>
    </w:p>
    <w:p w:rsidR="00AA0A2C" w:rsidRPr="00AA0A2C" w:rsidRDefault="00AA0A2C" w:rsidP="00CD7283">
      <w:pPr>
        <w:numPr>
          <w:ilvl w:val="0"/>
          <w:numId w:val="23"/>
        </w:numPr>
        <w:spacing w:line="240" w:lineRule="auto"/>
        <w:ind w:left="426" w:hanging="426"/>
        <w:contextualSpacing w:val="0"/>
        <w:rPr>
          <w:rFonts w:asciiTheme="majorHAnsi" w:hAnsiTheme="majorHAnsi" w:cs="Arial"/>
        </w:rPr>
      </w:pPr>
      <w:r w:rsidRPr="00AA0A2C">
        <w:rPr>
          <w:rFonts w:asciiTheme="majorHAnsi" w:hAnsiTheme="majorHAnsi" w:cs="Arial"/>
        </w:rPr>
        <w:t>Es posible inferir que 100 toneladas de carbono capturado por hectárea, equivalen a 350 toneladas de CO</w:t>
      </w:r>
      <w:r w:rsidRPr="00AA0A2C">
        <w:rPr>
          <w:rFonts w:asciiTheme="majorHAnsi" w:hAnsiTheme="majorHAnsi" w:cs="Arial"/>
          <w:vertAlign w:val="subscript"/>
        </w:rPr>
        <w:t xml:space="preserve">2 </w:t>
      </w:r>
      <w:r w:rsidRPr="00AA0A2C">
        <w:rPr>
          <w:rFonts w:asciiTheme="majorHAnsi" w:hAnsiTheme="majorHAnsi" w:cs="Arial"/>
        </w:rPr>
        <w:t>por hectárea en 100 años. Esto es una tonelada de carbono y 3.5 toneladas de CO</w:t>
      </w:r>
      <w:r w:rsidRPr="00AA0A2C">
        <w:rPr>
          <w:rFonts w:asciiTheme="majorHAnsi" w:hAnsiTheme="majorHAnsi" w:cs="Arial"/>
          <w:vertAlign w:val="subscript"/>
        </w:rPr>
        <w:t xml:space="preserve">2 </w:t>
      </w:r>
      <w:r w:rsidRPr="00AA0A2C">
        <w:rPr>
          <w:rFonts w:asciiTheme="majorHAnsi" w:hAnsiTheme="majorHAnsi" w:cs="Arial"/>
        </w:rPr>
        <w:t xml:space="preserve">por año y por hectárea, sin tomar en cuenta la pérdida de árboles. </w:t>
      </w:r>
    </w:p>
    <w:p w:rsidR="00AA0A2C" w:rsidRPr="00AA0A2C" w:rsidRDefault="00AA0A2C" w:rsidP="00CD7283">
      <w:pPr>
        <w:pStyle w:val="Prrafodelista"/>
        <w:numPr>
          <w:ilvl w:val="0"/>
          <w:numId w:val="23"/>
        </w:numPr>
        <w:spacing w:line="240" w:lineRule="auto"/>
        <w:ind w:left="426" w:hanging="426"/>
        <w:rPr>
          <w:rFonts w:asciiTheme="majorHAnsi" w:hAnsiTheme="majorHAnsi" w:cs="Arial"/>
        </w:rPr>
      </w:pPr>
      <w:r w:rsidRPr="00AA0A2C">
        <w:rPr>
          <w:rFonts w:asciiTheme="majorHAnsi" w:hAnsiTheme="majorHAnsi" w:cs="Arial"/>
        </w:rPr>
        <w:t>La tasa de absorción de CO</w:t>
      </w:r>
      <w:r w:rsidRPr="00AA0A2C">
        <w:rPr>
          <w:rFonts w:asciiTheme="majorHAnsi" w:hAnsiTheme="majorHAnsi" w:cs="Arial"/>
          <w:vertAlign w:val="subscript"/>
        </w:rPr>
        <w:t>2</w:t>
      </w:r>
      <w:r w:rsidRPr="00AA0A2C">
        <w:rPr>
          <w:rFonts w:asciiTheme="majorHAnsi" w:hAnsiTheme="majorHAnsi" w:cs="Arial"/>
        </w:rPr>
        <w:t xml:space="preserve"> de los bosques es de 5,21 toneladas </w:t>
      </w:r>
      <w:r w:rsidR="005645E8" w:rsidRPr="00AA0A2C">
        <w:rPr>
          <w:rFonts w:asciiTheme="majorHAnsi" w:hAnsiTheme="majorHAnsi" w:cs="Arial"/>
        </w:rPr>
        <w:t>de CO</w:t>
      </w:r>
      <w:r w:rsidR="005645E8" w:rsidRPr="005645E8">
        <w:rPr>
          <w:rFonts w:asciiTheme="majorHAnsi" w:hAnsiTheme="majorHAnsi" w:cs="Arial"/>
          <w:vertAlign w:val="subscript"/>
        </w:rPr>
        <w:t>2</w:t>
      </w:r>
      <w:r w:rsidRPr="00AA0A2C">
        <w:rPr>
          <w:rFonts w:asciiTheme="majorHAnsi" w:hAnsiTheme="majorHAnsi" w:cs="Arial"/>
        </w:rPr>
        <w:t>/Ha/año se obtuvo del Panel Internacional sobre Cambio Climático (IPCC, 2001).</w:t>
      </w:r>
    </w:p>
    <w:p w:rsidR="00AA0A2C" w:rsidRPr="00AA0A2C" w:rsidRDefault="00AA0A2C" w:rsidP="00CD7283">
      <w:pPr>
        <w:pStyle w:val="Prrafodelista"/>
        <w:numPr>
          <w:ilvl w:val="0"/>
          <w:numId w:val="24"/>
        </w:numPr>
        <w:spacing w:line="240" w:lineRule="auto"/>
        <w:ind w:left="426" w:hanging="426"/>
        <w:rPr>
          <w:rFonts w:asciiTheme="majorHAnsi" w:hAnsiTheme="majorHAnsi" w:cs="Arial"/>
        </w:rPr>
      </w:pPr>
      <w:r w:rsidRPr="00AA0A2C">
        <w:rPr>
          <w:rFonts w:asciiTheme="majorHAnsi" w:hAnsiTheme="majorHAnsi" w:cs="Arial"/>
        </w:rPr>
        <w:t>El Banco Mundial aprueba el valor de la tonelada de CO</w:t>
      </w:r>
      <w:r w:rsidRPr="00AA0A2C">
        <w:rPr>
          <w:rFonts w:asciiTheme="majorHAnsi" w:hAnsiTheme="majorHAnsi" w:cs="Arial"/>
          <w:vertAlign w:val="subscript"/>
        </w:rPr>
        <w:t>2</w:t>
      </w:r>
      <w:r w:rsidRPr="00AA0A2C">
        <w:rPr>
          <w:rFonts w:asciiTheme="majorHAnsi" w:hAnsiTheme="majorHAnsi" w:cs="Arial"/>
        </w:rPr>
        <w:t xml:space="preserve"> de US$10. Se estima que en los últimos años este valor pueda llegar hasta los US$15 pero hasta el momento esto no ha sido aprobado.</w:t>
      </w:r>
    </w:p>
    <w:p w:rsidR="00AA0A2C" w:rsidRPr="00AA0A2C" w:rsidRDefault="00AA0A2C" w:rsidP="00CD7283">
      <w:pPr>
        <w:pStyle w:val="Prrafodelista"/>
        <w:numPr>
          <w:ilvl w:val="0"/>
          <w:numId w:val="24"/>
        </w:numPr>
        <w:spacing w:line="240" w:lineRule="auto"/>
        <w:ind w:left="426" w:hanging="426"/>
        <w:rPr>
          <w:rFonts w:asciiTheme="majorHAnsi" w:hAnsiTheme="majorHAnsi" w:cs="Arial"/>
        </w:rPr>
      </w:pPr>
      <w:r w:rsidRPr="00AA0A2C">
        <w:rPr>
          <w:rFonts w:asciiTheme="majorHAnsi" w:hAnsiTheme="majorHAnsi" w:cs="Arial"/>
        </w:rPr>
        <w:t xml:space="preserve">Para proyectos de reforestación el Ministerio de Ambiente Vivienda y Desarrollo Territorial, considera una relación de 1:2 de compensación arbórea. </w:t>
      </w:r>
    </w:p>
    <w:p w:rsidR="00AA0A2C" w:rsidRPr="00AA0A2C" w:rsidRDefault="00AA0A2C" w:rsidP="00CD7283">
      <w:pPr>
        <w:pStyle w:val="Prrafodelista"/>
        <w:numPr>
          <w:ilvl w:val="0"/>
          <w:numId w:val="24"/>
        </w:numPr>
        <w:spacing w:line="240" w:lineRule="auto"/>
        <w:ind w:left="426" w:hanging="426"/>
        <w:rPr>
          <w:rFonts w:asciiTheme="majorHAnsi" w:hAnsiTheme="majorHAnsi" w:cs="Arial"/>
        </w:rPr>
      </w:pPr>
      <w:r w:rsidRPr="00AA0A2C">
        <w:rPr>
          <w:rFonts w:asciiTheme="majorHAnsi" w:hAnsiTheme="majorHAnsi" w:cs="Arial"/>
        </w:rPr>
        <w:t>Se considera el mismo periodo que toma la fase sucesional de los bosques. Este es de cinco (5) años, de acuerdo con Marwin Melga, mencionado anteriormente. Se consideró que después de 5 años, la plantación bien mantenida estará desarrollada para absorber CO</w:t>
      </w:r>
      <w:r w:rsidRPr="00AA0A2C">
        <w:rPr>
          <w:rFonts w:asciiTheme="majorHAnsi" w:hAnsiTheme="majorHAnsi" w:cs="Arial"/>
          <w:vertAlign w:val="subscript"/>
        </w:rPr>
        <w:t xml:space="preserve">2 </w:t>
      </w:r>
      <w:r w:rsidRPr="00AA0A2C">
        <w:rPr>
          <w:rFonts w:asciiTheme="majorHAnsi" w:hAnsiTheme="majorHAnsi" w:cs="Arial"/>
        </w:rPr>
        <w:t>y ese criterio se aplicó a los cálculos de los costos.</w:t>
      </w:r>
      <w:r w:rsidRPr="00AA0A2C">
        <w:rPr>
          <w:rFonts w:asciiTheme="majorHAnsi" w:hAnsiTheme="majorHAnsi"/>
          <w:vertAlign w:val="superscript"/>
        </w:rPr>
        <w:footnoteReference w:id="12"/>
      </w:r>
    </w:p>
    <w:p w:rsidR="00AA0A2C" w:rsidRPr="00AA0A2C" w:rsidRDefault="00AA0A2C" w:rsidP="00AA0A2C">
      <w:pPr>
        <w:rPr>
          <w:rFonts w:asciiTheme="majorHAnsi" w:hAnsiTheme="majorHAnsi" w:cs="Arial"/>
          <w:b/>
        </w:rPr>
      </w:pPr>
      <w:r w:rsidRPr="00AA0A2C">
        <w:rPr>
          <w:rFonts w:asciiTheme="majorHAnsi" w:hAnsiTheme="majorHAnsi" w:cs="Arial"/>
        </w:rPr>
        <w:t>Los resultados se muestran en la siguiente Tabla. En total el costo ambiental de la pérdida por disminución en la capacidad de captura de CO</w:t>
      </w:r>
      <w:r w:rsidRPr="00AA0A2C">
        <w:rPr>
          <w:rFonts w:asciiTheme="majorHAnsi" w:hAnsiTheme="majorHAnsi" w:cs="Arial"/>
          <w:vertAlign w:val="subscript"/>
        </w:rPr>
        <w:t>2</w:t>
      </w:r>
      <w:r w:rsidRPr="00AA0A2C">
        <w:rPr>
          <w:rFonts w:asciiTheme="majorHAnsi" w:hAnsiTheme="majorHAnsi" w:cs="Arial"/>
        </w:rPr>
        <w:t xml:space="preserve"> alcanza un monto en Valor presente neto de </w:t>
      </w:r>
      <w:r w:rsidRPr="005645E8">
        <w:rPr>
          <w:rFonts w:asciiTheme="majorHAnsi" w:hAnsiTheme="majorHAnsi" w:cs="Arial"/>
          <w:b/>
        </w:rPr>
        <w:t>$</w:t>
      </w:r>
      <w:r w:rsidR="005645E8" w:rsidRPr="005645E8">
        <w:rPr>
          <w:rFonts w:asciiTheme="majorHAnsi" w:hAnsiTheme="majorHAnsi" w:cs="Arial"/>
          <w:b/>
        </w:rPr>
        <w:t>4.512.306</w:t>
      </w:r>
      <w:r w:rsidR="005645E8">
        <w:rPr>
          <w:rFonts w:asciiTheme="majorHAnsi" w:hAnsiTheme="majorHAnsi" w:cs="Arial"/>
          <w:b/>
        </w:rPr>
        <w:t>.</w:t>
      </w:r>
    </w:p>
    <w:p w:rsidR="005645E8" w:rsidRDefault="005645E8">
      <w:pPr>
        <w:spacing w:line="240" w:lineRule="auto"/>
        <w:contextualSpacing w:val="0"/>
        <w:jc w:val="left"/>
        <w:rPr>
          <w:rFonts w:asciiTheme="majorHAnsi" w:hAnsiTheme="majorHAnsi" w:cs="Arial"/>
          <w:b/>
        </w:rPr>
      </w:pPr>
    </w:p>
    <w:p w:rsidR="00AA0A2C" w:rsidRDefault="005645E8" w:rsidP="005645E8">
      <w:pPr>
        <w:pStyle w:val="Tablas"/>
      </w:pPr>
      <w:r>
        <w:t xml:space="preserve">Tabla </w:t>
      </w:r>
      <w:r w:rsidR="006D0D6E">
        <w:fldChar w:fldCharType="begin"/>
      </w:r>
      <w:r w:rsidR="006D0D6E">
        <w:instrText xml:space="preserve"> STYLEREF 1 \s </w:instrText>
      </w:r>
      <w:r w:rsidR="006D0D6E">
        <w:fldChar w:fldCharType="separate"/>
      </w:r>
      <w:r w:rsidR="006D0D6E">
        <w:rPr>
          <w:noProof/>
        </w:rPr>
        <w:t>10</w:t>
      </w:r>
      <w:r w:rsidR="006D0D6E">
        <w:fldChar w:fldCharType="end"/>
      </w:r>
      <w:r w:rsidR="006D0D6E">
        <w:t>.</w:t>
      </w:r>
      <w:r w:rsidR="006D0D6E">
        <w:fldChar w:fldCharType="begin"/>
      </w:r>
      <w:r w:rsidR="006D0D6E">
        <w:instrText xml:space="preserve"> SEQ Tabla \* ARABIC \s 1 </w:instrText>
      </w:r>
      <w:r w:rsidR="006D0D6E">
        <w:fldChar w:fldCharType="separate"/>
      </w:r>
      <w:r w:rsidR="006D0D6E">
        <w:rPr>
          <w:noProof/>
        </w:rPr>
        <w:t>14</w:t>
      </w:r>
      <w:r w:rsidR="006D0D6E">
        <w:fldChar w:fldCharType="end"/>
      </w:r>
      <w:r>
        <w:t xml:space="preserve"> </w:t>
      </w:r>
      <w:r w:rsidRPr="005645E8">
        <w:t>Disminución de la capacidad de captura de CO2 en Construcción</w:t>
      </w:r>
    </w:p>
    <w:tbl>
      <w:tblPr>
        <w:tblStyle w:val="Gminis"/>
        <w:tblW w:w="5000" w:type="pct"/>
        <w:tblLook w:val="04A0" w:firstRow="1" w:lastRow="0" w:firstColumn="1" w:lastColumn="0" w:noHBand="0" w:noVBand="1"/>
      </w:tblPr>
      <w:tblGrid>
        <w:gridCol w:w="1288"/>
        <w:gridCol w:w="1455"/>
        <w:gridCol w:w="1288"/>
        <w:gridCol w:w="871"/>
        <w:gridCol w:w="1138"/>
        <w:gridCol w:w="1155"/>
        <w:gridCol w:w="1066"/>
      </w:tblGrid>
      <w:tr w:rsidR="005645E8" w:rsidRPr="005645E8" w:rsidTr="00A243FB">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gridSpan w:val="7"/>
            <w:tcBorders>
              <w:top w:val="none" w:sz="0" w:space="0" w:color="auto"/>
              <w:left w:val="none" w:sz="0" w:space="0" w:color="auto"/>
              <w:bottom w:val="none" w:sz="0" w:space="0" w:color="auto"/>
              <w:right w:val="none" w:sz="0" w:space="0" w:color="auto"/>
            </w:tcBorders>
            <w:noWrap/>
            <w:vAlign w:val="center"/>
            <w:hideMark/>
          </w:tcPr>
          <w:p w:rsidR="005645E8" w:rsidRPr="005645E8" w:rsidRDefault="005645E8" w:rsidP="00A243FB">
            <w:pPr>
              <w:spacing w:line="240" w:lineRule="auto"/>
              <w:contextualSpacing w:val="0"/>
              <w:jc w:val="center"/>
              <w:rPr>
                <w:rFonts w:eastAsia="Times New Roman"/>
                <w:bCs/>
                <w:color w:val="000000"/>
                <w:sz w:val="18"/>
                <w:szCs w:val="18"/>
                <w:lang w:eastAsia="es-CO"/>
              </w:rPr>
            </w:pPr>
            <w:r w:rsidRPr="005645E8">
              <w:rPr>
                <w:rFonts w:eastAsia="Times New Roman"/>
                <w:bCs/>
                <w:color w:val="000000"/>
                <w:sz w:val="18"/>
                <w:szCs w:val="18"/>
                <w:lang w:eastAsia="es-CO"/>
              </w:rPr>
              <w:t>DISMINUCIÓN EN LA CAPACIDAD DE CAPTURA DE CO</w:t>
            </w:r>
            <w:r w:rsidRPr="005645E8">
              <w:rPr>
                <w:rFonts w:eastAsia="Times New Roman"/>
                <w:bCs/>
                <w:color w:val="000000"/>
                <w:sz w:val="18"/>
                <w:szCs w:val="18"/>
                <w:vertAlign w:val="subscript"/>
                <w:lang w:eastAsia="es-CO"/>
              </w:rPr>
              <w:t>2</w:t>
            </w:r>
            <w:r w:rsidRPr="005645E8">
              <w:rPr>
                <w:rFonts w:eastAsia="Times New Roman"/>
                <w:bCs/>
                <w:color w:val="000000"/>
                <w:sz w:val="18"/>
                <w:szCs w:val="18"/>
                <w:lang w:eastAsia="es-CO"/>
              </w:rPr>
              <w:t xml:space="preserve"> EN CONSTRUCCIÓN</w:t>
            </w:r>
          </w:p>
        </w:tc>
      </w:tr>
      <w:tr w:rsidR="005645E8" w:rsidRPr="005645E8" w:rsidTr="00A243FB">
        <w:trPr>
          <w:trHeight w:val="20"/>
        </w:trPr>
        <w:tc>
          <w:tcPr>
            <w:cnfStyle w:val="001000000000" w:firstRow="0" w:lastRow="0" w:firstColumn="1" w:lastColumn="0" w:oddVBand="0" w:evenVBand="0" w:oddHBand="0" w:evenHBand="0" w:firstRowFirstColumn="0" w:firstRowLastColumn="0" w:lastRowFirstColumn="0" w:lastRowLastColumn="0"/>
            <w:tcW w:w="773" w:type="pct"/>
            <w:vMerge w:val="restart"/>
            <w:tcBorders>
              <w:left w:val="none" w:sz="0" w:space="0" w:color="auto"/>
            </w:tcBorders>
            <w:vAlign w:val="center"/>
            <w:hideMark/>
          </w:tcPr>
          <w:p w:rsidR="005645E8" w:rsidRPr="005645E8" w:rsidRDefault="005645E8" w:rsidP="00A243FB">
            <w:pPr>
              <w:spacing w:line="240" w:lineRule="auto"/>
              <w:contextualSpacing w:val="0"/>
              <w:jc w:val="center"/>
              <w:rPr>
                <w:rFonts w:eastAsia="Times New Roman"/>
                <w:b/>
                <w:bCs/>
                <w:color w:val="000000"/>
                <w:sz w:val="18"/>
                <w:szCs w:val="18"/>
                <w:lang w:eastAsia="es-CO"/>
              </w:rPr>
            </w:pPr>
            <w:r w:rsidRPr="005645E8">
              <w:rPr>
                <w:rFonts w:eastAsia="Times New Roman"/>
                <w:b/>
                <w:bCs/>
                <w:color w:val="000000"/>
                <w:sz w:val="18"/>
                <w:szCs w:val="18"/>
                <w:lang w:eastAsia="es-CO"/>
              </w:rPr>
              <w:t>Componente biótico</w:t>
            </w:r>
          </w:p>
        </w:tc>
        <w:tc>
          <w:tcPr>
            <w:tcW w:w="1658" w:type="pct"/>
            <w:gridSpan w:val="2"/>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5645E8">
              <w:rPr>
                <w:rFonts w:eastAsia="Times New Roman"/>
                <w:b/>
                <w:bCs/>
                <w:color w:val="000000"/>
                <w:sz w:val="18"/>
                <w:szCs w:val="18"/>
                <w:lang w:eastAsia="es-CO"/>
              </w:rPr>
              <w:t>Cobertura vegetal</w:t>
            </w:r>
          </w:p>
        </w:tc>
        <w:tc>
          <w:tcPr>
            <w:tcW w:w="527" w:type="pct"/>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5645E8">
              <w:rPr>
                <w:rFonts w:eastAsia="Times New Roman"/>
                <w:b/>
                <w:bCs/>
                <w:color w:val="000000"/>
                <w:sz w:val="18"/>
                <w:szCs w:val="18"/>
                <w:lang w:eastAsia="es-CO"/>
              </w:rPr>
              <w:t>Bosque abierto</w:t>
            </w:r>
          </w:p>
        </w:tc>
        <w:tc>
          <w:tcPr>
            <w:tcW w:w="700" w:type="pct"/>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5645E8">
              <w:rPr>
                <w:rFonts w:eastAsia="Times New Roman"/>
                <w:b/>
                <w:bCs/>
                <w:color w:val="000000"/>
                <w:sz w:val="18"/>
                <w:szCs w:val="18"/>
                <w:lang w:eastAsia="es-CO"/>
              </w:rPr>
              <w:t>Bosque de galería y/o ripario</w:t>
            </w:r>
          </w:p>
        </w:tc>
        <w:tc>
          <w:tcPr>
            <w:tcW w:w="698" w:type="pct"/>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5645E8">
              <w:rPr>
                <w:rFonts w:eastAsia="Times New Roman"/>
                <w:b/>
                <w:bCs/>
                <w:color w:val="000000"/>
                <w:sz w:val="18"/>
                <w:szCs w:val="18"/>
                <w:lang w:eastAsia="es-CO"/>
              </w:rPr>
              <w:t>Vegetación secundaria o en transición</w:t>
            </w:r>
          </w:p>
        </w:tc>
        <w:tc>
          <w:tcPr>
            <w:tcW w:w="644" w:type="pct"/>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5645E8">
              <w:rPr>
                <w:rFonts w:eastAsia="Times New Roman"/>
                <w:b/>
                <w:bCs/>
                <w:color w:val="000000"/>
                <w:sz w:val="18"/>
                <w:szCs w:val="18"/>
                <w:lang w:eastAsia="es-CO"/>
              </w:rPr>
              <w:t>VALOR TOTAL ($)</w:t>
            </w:r>
          </w:p>
        </w:tc>
      </w:tr>
      <w:tr w:rsidR="005645E8" w:rsidRPr="005645E8" w:rsidTr="00A243FB">
        <w:trPr>
          <w:trHeight w:val="20"/>
        </w:trPr>
        <w:tc>
          <w:tcPr>
            <w:cnfStyle w:val="001000000000" w:firstRow="0" w:lastRow="0" w:firstColumn="1" w:lastColumn="0" w:oddVBand="0" w:evenVBand="0" w:oddHBand="0" w:evenHBand="0" w:firstRowFirstColumn="0" w:firstRowLastColumn="0" w:lastRowFirstColumn="0" w:lastRowLastColumn="0"/>
            <w:tcW w:w="773" w:type="pct"/>
            <w:vMerge/>
            <w:tcBorders>
              <w:left w:val="none" w:sz="0" w:space="0" w:color="auto"/>
            </w:tcBorders>
            <w:vAlign w:val="center"/>
            <w:hideMark/>
          </w:tcPr>
          <w:p w:rsidR="005645E8" w:rsidRPr="005645E8" w:rsidRDefault="005645E8" w:rsidP="00A243FB">
            <w:pPr>
              <w:spacing w:line="240" w:lineRule="auto"/>
              <w:contextualSpacing w:val="0"/>
              <w:jc w:val="center"/>
              <w:rPr>
                <w:rFonts w:eastAsia="Times New Roman"/>
                <w:b/>
                <w:bCs/>
                <w:color w:val="000000"/>
                <w:sz w:val="18"/>
                <w:szCs w:val="18"/>
                <w:lang w:eastAsia="es-CO"/>
              </w:rPr>
            </w:pPr>
          </w:p>
        </w:tc>
        <w:tc>
          <w:tcPr>
            <w:tcW w:w="1658" w:type="pct"/>
            <w:gridSpan w:val="2"/>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5645E8">
              <w:rPr>
                <w:rFonts w:eastAsia="Times New Roman"/>
                <w:b/>
                <w:bCs/>
                <w:color w:val="000000"/>
                <w:sz w:val="18"/>
                <w:szCs w:val="18"/>
                <w:lang w:eastAsia="es-CO"/>
              </w:rPr>
              <w:t>Nº Hectáreas</w:t>
            </w:r>
          </w:p>
        </w:tc>
        <w:tc>
          <w:tcPr>
            <w:tcW w:w="527" w:type="pct"/>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0,70</w:t>
            </w:r>
          </w:p>
        </w:tc>
        <w:tc>
          <w:tcPr>
            <w:tcW w:w="700" w:type="pct"/>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2,33</w:t>
            </w:r>
          </w:p>
        </w:tc>
        <w:tc>
          <w:tcPr>
            <w:tcW w:w="698" w:type="pct"/>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2,95</w:t>
            </w:r>
          </w:p>
        </w:tc>
        <w:tc>
          <w:tcPr>
            <w:tcW w:w="644" w:type="pct"/>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5,980</w:t>
            </w:r>
          </w:p>
        </w:tc>
      </w:tr>
      <w:tr w:rsidR="005645E8" w:rsidRPr="005645E8" w:rsidTr="00A243FB">
        <w:trPr>
          <w:trHeight w:val="20"/>
        </w:trPr>
        <w:tc>
          <w:tcPr>
            <w:cnfStyle w:val="001000000000" w:firstRow="0" w:lastRow="0" w:firstColumn="1" w:lastColumn="0" w:oddVBand="0" w:evenVBand="0" w:oddHBand="0" w:evenHBand="0" w:firstRowFirstColumn="0" w:firstRowLastColumn="0" w:lastRowFirstColumn="0" w:lastRowLastColumn="0"/>
            <w:tcW w:w="773" w:type="pct"/>
            <w:vMerge w:val="restart"/>
            <w:tcBorders>
              <w:left w:val="none" w:sz="0" w:space="0" w:color="auto"/>
            </w:tcBorders>
            <w:vAlign w:val="center"/>
            <w:hideMark/>
          </w:tcPr>
          <w:p w:rsidR="005645E8" w:rsidRPr="005645E8" w:rsidRDefault="005645E8" w:rsidP="00A243FB">
            <w:pPr>
              <w:spacing w:line="240" w:lineRule="auto"/>
              <w:contextualSpacing w:val="0"/>
              <w:jc w:val="center"/>
              <w:rPr>
                <w:rFonts w:eastAsia="Times New Roman"/>
                <w:b/>
                <w:bCs/>
                <w:color w:val="000000"/>
                <w:sz w:val="18"/>
                <w:szCs w:val="18"/>
                <w:lang w:eastAsia="es-CO"/>
              </w:rPr>
            </w:pPr>
            <w:r w:rsidRPr="005645E8">
              <w:rPr>
                <w:rFonts w:eastAsia="Times New Roman"/>
                <w:b/>
                <w:bCs/>
                <w:color w:val="000000"/>
                <w:sz w:val="18"/>
                <w:szCs w:val="18"/>
                <w:lang w:eastAsia="es-CO"/>
              </w:rPr>
              <w:t>Disminución de la capacidad de captura de CO</w:t>
            </w:r>
            <w:r w:rsidRPr="005645E8">
              <w:rPr>
                <w:rFonts w:eastAsia="Times New Roman"/>
                <w:b/>
                <w:bCs/>
                <w:color w:val="000000"/>
                <w:sz w:val="18"/>
                <w:szCs w:val="18"/>
                <w:vertAlign w:val="subscript"/>
                <w:lang w:eastAsia="es-CO"/>
              </w:rPr>
              <w:t>2</w:t>
            </w:r>
          </w:p>
        </w:tc>
        <w:tc>
          <w:tcPr>
            <w:tcW w:w="880" w:type="pct"/>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Captura de CO</w:t>
            </w:r>
            <w:r w:rsidRPr="005645E8">
              <w:rPr>
                <w:rFonts w:eastAsia="Times New Roman"/>
                <w:color w:val="000000"/>
                <w:sz w:val="18"/>
                <w:szCs w:val="18"/>
                <w:vertAlign w:val="subscript"/>
                <w:lang w:eastAsia="es-CO"/>
              </w:rPr>
              <w:t>2</w:t>
            </w:r>
          </w:p>
        </w:tc>
        <w:tc>
          <w:tcPr>
            <w:tcW w:w="779" w:type="pct"/>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5645E8">
              <w:rPr>
                <w:rFonts w:eastAsia="Times New Roman"/>
                <w:sz w:val="18"/>
                <w:szCs w:val="18"/>
                <w:lang w:eastAsia="es-CO"/>
              </w:rPr>
              <w:t>5,21 Ton/Ha/año*</w:t>
            </w:r>
          </w:p>
        </w:tc>
        <w:tc>
          <w:tcPr>
            <w:tcW w:w="527" w:type="pct"/>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5645E8">
              <w:rPr>
                <w:rFonts w:eastAsia="Times New Roman"/>
                <w:sz w:val="18"/>
                <w:szCs w:val="18"/>
                <w:lang w:eastAsia="es-CO"/>
              </w:rPr>
              <w:t>3,65</w:t>
            </w:r>
          </w:p>
        </w:tc>
        <w:tc>
          <w:tcPr>
            <w:tcW w:w="700" w:type="pct"/>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5645E8">
              <w:rPr>
                <w:rFonts w:eastAsia="Times New Roman"/>
                <w:sz w:val="18"/>
                <w:szCs w:val="18"/>
                <w:lang w:eastAsia="es-CO"/>
              </w:rPr>
              <w:t>12,14</w:t>
            </w:r>
          </w:p>
        </w:tc>
        <w:tc>
          <w:tcPr>
            <w:tcW w:w="698" w:type="pct"/>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5645E8">
              <w:rPr>
                <w:rFonts w:eastAsia="Times New Roman"/>
                <w:sz w:val="18"/>
                <w:szCs w:val="18"/>
                <w:lang w:eastAsia="es-CO"/>
              </w:rPr>
              <w:t>15,37</w:t>
            </w:r>
          </w:p>
        </w:tc>
        <w:tc>
          <w:tcPr>
            <w:tcW w:w="644" w:type="pct"/>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5645E8">
              <w:rPr>
                <w:rFonts w:eastAsia="Times New Roman"/>
                <w:sz w:val="18"/>
                <w:szCs w:val="18"/>
                <w:lang w:eastAsia="es-CO"/>
              </w:rPr>
              <w:t>31,16</w:t>
            </w:r>
          </w:p>
        </w:tc>
      </w:tr>
      <w:tr w:rsidR="005645E8" w:rsidRPr="005645E8" w:rsidTr="00A243FB">
        <w:trPr>
          <w:trHeight w:val="20"/>
        </w:trPr>
        <w:tc>
          <w:tcPr>
            <w:cnfStyle w:val="001000000000" w:firstRow="0" w:lastRow="0" w:firstColumn="1" w:lastColumn="0" w:oddVBand="0" w:evenVBand="0" w:oddHBand="0" w:evenHBand="0" w:firstRowFirstColumn="0" w:firstRowLastColumn="0" w:lastRowFirstColumn="0" w:lastRowLastColumn="0"/>
            <w:tcW w:w="773" w:type="pct"/>
            <w:vMerge/>
            <w:tcBorders>
              <w:left w:val="none" w:sz="0" w:space="0" w:color="auto"/>
            </w:tcBorders>
            <w:vAlign w:val="center"/>
            <w:hideMark/>
          </w:tcPr>
          <w:p w:rsidR="005645E8" w:rsidRPr="005645E8" w:rsidRDefault="005645E8" w:rsidP="00A243FB">
            <w:pPr>
              <w:spacing w:line="240" w:lineRule="auto"/>
              <w:contextualSpacing w:val="0"/>
              <w:jc w:val="center"/>
              <w:rPr>
                <w:rFonts w:eastAsia="Times New Roman"/>
                <w:b/>
                <w:bCs/>
                <w:color w:val="000000"/>
                <w:sz w:val="18"/>
                <w:szCs w:val="18"/>
                <w:lang w:eastAsia="es-CO"/>
              </w:rPr>
            </w:pPr>
          </w:p>
        </w:tc>
        <w:tc>
          <w:tcPr>
            <w:tcW w:w="880" w:type="pct"/>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Valor/Tonelada</w:t>
            </w:r>
          </w:p>
        </w:tc>
        <w:tc>
          <w:tcPr>
            <w:tcW w:w="779" w:type="pct"/>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US$10/Ton**</w:t>
            </w:r>
          </w:p>
        </w:tc>
        <w:tc>
          <w:tcPr>
            <w:tcW w:w="527" w:type="pct"/>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36,47</w:t>
            </w:r>
          </w:p>
        </w:tc>
        <w:tc>
          <w:tcPr>
            <w:tcW w:w="700" w:type="pct"/>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121,39</w:t>
            </w:r>
          </w:p>
        </w:tc>
        <w:tc>
          <w:tcPr>
            <w:tcW w:w="698" w:type="pct"/>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153,70</w:t>
            </w:r>
          </w:p>
        </w:tc>
        <w:tc>
          <w:tcPr>
            <w:tcW w:w="644" w:type="pct"/>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311,56</w:t>
            </w:r>
          </w:p>
        </w:tc>
      </w:tr>
      <w:tr w:rsidR="005645E8" w:rsidRPr="005645E8" w:rsidTr="00A243FB">
        <w:trPr>
          <w:trHeight w:val="20"/>
        </w:trPr>
        <w:tc>
          <w:tcPr>
            <w:cnfStyle w:val="001000000000" w:firstRow="0" w:lastRow="0" w:firstColumn="1" w:lastColumn="0" w:oddVBand="0" w:evenVBand="0" w:oddHBand="0" w:evenHBand="0" w:firstRowFirstColumn="0" w:firstRowLastColumn="0" w:lastRowFirstColumn="0" w:lastRowLastColumn="0"/>
            <w:tcW w:w="773" w:type="pct"/>
            <w:vMerge/>
            <w:tcBorders>
              <w:left w:val="none" w:sz="0" w:space="0" w:color="auto"/>
            </w:tcBorders>
            <w:vAlign w:val="center"/>
            <w:hideMark/>
          </w:tcPr>
          <w:p w:rsidR="005645E8" w:rsidRPr="005645E8" w:rsidRDefault="005645E8" w:rsidP="00A243FB">
            <w:pPr>
              <w:spacing w:line="240" w:lineRule="auto"/>
              <w:contextualSpacing w:val="0"/>
              <w:jc w:val="center"/>
              <w:rPr>
                <w:rFonts w:eastAsia="Times New Roman"/>
                <w:b/>
                <w:bCs/>
                <w:color w:val="000000"/>
                <w:sz w:val="18"/>
                <w:szCs w:val="18"/>
                <w:lang w:eastAsia="es-CO"/>
              </w:rPr>
            </w:pPr>
          </w:p>
        </w:tc>
        <w:tc>
          <w:tcPr>
            <w:tcW w:w="1658" w:type="pct"/>
            <w:gridSpan w:val="2"/>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Valor anual PESOS ($)</w:t>
            </w:r>
          </w:p>
        </w:tc>
        <w:tc>
          <w:tcPr>
            <w:tcW w:w="527" w:type="pct"/>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118.316</w:t>
            </w:r>
          </w:p>
        </w:tc>
        <w:tc>
          <w:tcPr>
            <w:tcW w:w="700" w:type="pct"/>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393.823</w:t>
            </w:r>
          </w:p>
        </w:tc>
        <w:tc>
          <w:tcPr>
            <w:tcW w:w="698" w:type="pct"/>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498.617</w:t>
            </w:r>
          </w:p>
        </w:tc>
        <w:tc>
          <w:tcPr>
            <w:tcW w:w="644" w:type="pct"/>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1.010.756</w:t>
            </w:r>
          </w:p>
        </w:tc>
      </w:tr>
      <w:tr w:rsidR="005645E8" w:rsidRPr="005645E8" w:rsidTr="00A243FB">
        <w:trPr>
          <w:trHeight w:val="20"/>
        </w:trPr>
        <w:tc>
          <w:tcPr>
            <w:cnfStyle w:val="001000000000" w:firstRow="0" w:lastRow="0" w:firstColumn="1" w:lastColumn="0" w:oddVBand="0" w:evenVBand="0" w:oddHBand="0" w:evenHBand="0" w:firstRowFirstColumn="0" w:firstRowLastColumn="0" w:lastRowFirstColumn="0" w:lastRowLastColumn="0"/>
            <w:tcW w:w="773" w:type="pct"/>
            <w:vMerge/>
            <w:tcBorders>
              <w:left w:val="none" w:sz="0" w:space="0" w:color="auto"/>
            </w:tcBorders>
            <w:vAlign w:val="center"/>
            <w:hideMark/>
          </w:tcPr>
          <w:p w:rsidR="005645E8" w:rsidRPr="005645E8" w:rsidRDefault="005645E8" w:rsidP="00A243FB">
            <w:pPr>
              <w:spacing w:line="240" w:lineRule="auto"/>
              <w:contextualSpacing w:val="0"/>
              <w:jc w:val="center"/>
              <w:rPr>
                <w:rFonts w:eastAsia="Times New Roman"/>
                <w:b/>
                <w:bCs/>
                <w:color w:val="000000"/>
                <w:sz w:val="18"/>
                <w:szCs w:val="18"/>
                <w:lang w:eastAsia="es-CO"/>
              </w:rPr>
            </w:pPr>
          </w:p>
        </w:tc>
        <w:tc>
          <w:tcPr>
            <w:tcW w:w="1658" w:type="pct"/>
            <w:gridSpan w:val="2"/>
            <w:noWrap/>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Años establecimiento***</w:t>
            </w:r>
          </w:p>
        </w:tc>
        <w:tc>
          <w:tcPr>
            <w:tcW w:w="527" w:type="pct"/>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5</w:t>
            </w:r>
          </w:p>
        </w:tc>
        <w:tc>
          <w:tcPr>
            <w:tcW w:w="700" w:type="pct"/>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5</w:t>
            </w:r>
          </w:p>
        </w:tc>
        <w:tc>
          <w:tcPr>
            <w:tcW w:w="698" w:type="pct"/>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5</w:t>
            </w:r>
          </w:p>
        </w:tc>
        <w:tc>
          <w:tcPr>
            <w:tcW w:w="644" w:type="pct"/>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5</w:t>
            </w:r>
          </w:p>
        </w:tc>
      </w:tr>
      <w:tr w:rsidR="005645E8" w:rsidRPr="005645E8" w:rsidTr="00A243FB">
        <w:trPr>
          <w:trHeight w:val="20"/>
        </w:trPr>
        <w:tc>
          <w:tcPr>
            <w:cnfStyle w:val="001000000000" w:firstRow="0" w:lastRow="0" w:firstColumn="1" w:lastColumn="0" w:oddVBand="0" w:evenVBand="0" w:oddHBand="0" w:evenHBand="0" w:firstRowFirstColumn="0" w:firstRowLastColumn="0" w:lastRowFirstColumn="0" w:lastRowLastColumn="0"/>
            <w:tcW w:w="773" w:type="pct"/>
            <w:vMerge/>
            <w:tcBorders>
              <w:left w:val="none" w:sz="0" w:space="0" w:color="auto"/>
            </w:tcBorders>
            <w:vAlign w:val="center"/>
            <w:hideMark/>
          </w:tcPr>
          <w:p w:rsidR="005645E8" w:rsidRPr="005645E8" w:rsidRDefault="005645E8" w:rsidP="00A243FB">
            <w:pPr>
              <w:spacing w:line="240" w:lineRule="auto"/>
              <w:contextualSpacing w:val="0"/>
              <w:jc w:val="center"/>
              <w:rPr>
                <w:rFonts w:eastAsia="Times New Roman"/>
                <w:b/>
                <w:bCs/>
                <w:color w:val="000000"/>
                <w:sz w:val="18"/>
                <w:szCs w:val="18"/>
                <w:lang w:eastAsia="es-CO"/>
              </w:rPr>
            </w:pPr>
          </w:p>
        </w:tc>
        <w:tc>
          <w:tcPr>
            <w:tcW w:w="1658" w:type="pct"/>
            <w:gridSpan w:val="2"/>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5645E8">
              <w:rPr>
                <w:rFonts w:eastAsia="Times New Roman"/>
                <w:b/>
                <w:bCs/>
                <w:color w:val="000000"/>
                <w:sz w:val="18"/>
                <w:szCs w:val="18"/>
                <w:lang w:eastAsia="es-CO"/>
              </w:rPr>
              <w:t>Valor Total PESOS ($)</w:t>
            </w:r>
          </w:p>
        </w:tc>
        <w:tc>
          <w:tcPr>
            <w:tcW w:w="527" w:type="pct"/>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591.580</w:t>
            </w:r>
          </w:p>
        </w:tc>
        <w:tc>
          <w:tcPr>
            <w:tcW w:w="700" w:type="pct"/>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1.969.116</w:t>
            </w:r>
          </w:p>
        </w:tc>
        <w:tc>
          <w:tcPr>
            <w:tcW w:w="698" w:type="pct"/>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2.493.087</w:t>
            </w:r>
          </w:p>
        </w:tc>
        <w:tc>
          <w:tcPr>
            <w:tcW w:w="644" w:type="pct"/>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5645E8">
              <w:rPr>
                <w:rFonts w:eastAsia="Times New Roman"/>
                <w:b/>
                <w:bCs/>
                <w:color w:val="000000"/>
                <w:sz w:val="18"/>
                <w:szCs w:val="18"/>
                <w:lang w:eastAsia="es-CO"/>
              </w:rPr>
              <w:t>5.053.782</w:t>
            </w:r>
          </w:p>
        </w:tc>
      </w:tr>
      <w:tr w:rsidR="005645E8" w:rsidRPr="005645E8" w:rsidTr="00A243FB">
        <w:trPr>
          <w:trHeight w:val="20"/>
        </w:trPr>
        <w:tc>
          <w:tcPr>
            <w:cnfStyle w:val="001000000000" w:firstRow="0" w:lastRow="0" w:firstColumn="1" w:lastColumn="0" w:oddVBand="0" w:evenVBand="0" w:oddHBand="0" w:evenHBand="0" w:firstRowFirstColumn="0" w:firstRowLastColumn="0" w:lastRowFirstColumn="0" w:lastRowLastColumn="0"/>
            <w:tcW w:w="773" w:type="pct"/>
            <w:vMerge/>
            <w:tcBorders>
              <w:left w:val="none" w:sz="0" w:space="0" w:color="auto"/>
            </w:tcBorders>
            <w:vAlign w:val="center"/>
            <w:hideMark/>
          </w:tcPr>
          <w:p w:rsidR="005645E8" w:rsidRPr="005645E8" w:rsidRDefault="005645E8" w:rsidP="00A243FB">
            <w:pPr>
              <w:spacing w:line="240" w:lineRule="auto"/>
              <w:contextualSpacing w:val="0"/>
              <w:jc w:val="center"/>
              <w:rPr>
                <w:rFonts w:eastAsia="Times New Roman"/>
                <w:b/>
                <w:bCs/>
                <w:color w:val="000000"/>
                <w:sz w:val="18"/>
                <w:szCs w:val="18"/>
                <w:lang w:eastAsia="es-CO"/>
              </w:rPr>
            </w:pPr>
          </w:p>
        </w:tc>
        <w:tc>
          <w:tcPr>
            <w:tcW w:w="1658" w:type="pct"/>
            <w:gridSpan w:val="2"/>
            <w:noWrap/>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Valor Presente Neto ($)</w:t>
            </w:r>
          </w:p>
        </w:tc>
        <w:tc>
          <w:tcPr>
            <w:tcW w:w="527" w:type="pct"/>
            <w:noWrap/>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528.196</w:t>
            </w:r>
          </w:p>
        </w:tc>
        <w:tc>
          <w:tcPr>
            <w:tcW w:w="700" w:type="pct"/>
            <w:noWrap/>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1.758.139</w:t>
            </w:r>
          </w:p>
        </w:tc>
        <w:tc>
          <w:tcPr>
            <w:tcW w:w="698" w:type="pct"/>
            <w:noWrap/>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2.225.970</w:t>
            </w:r>
          </w:p>
        </w:tc>
        <w:tc>
          <w:tcPr>
            <w:tcW w:w="644" w:type="pct"/>
            <w:noWrap/>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4.512.306</w:t>
            </w:r>
          </w:p>
        </w:tc>
      </w:tr>
    </w:tbl>
    <w:p w:rsidR="005645E8" w:rsidRPr="00AA0A2C" w:rsidRDefault="00A243FB" w:rsidP="00A243FB">
      <w:pPr>
        <w:pStyle w:val="Notas"/>
      </w:pPr>
      <w:bookmarkStart w:id="96" w:name="_Toc381338392"/>
      <w:r>
        <w:t>Fuente:</w:t>
      </w:r>
      <w:r w:rsidR="005645E8" w:rsidRPr="00AA0A2C">
        <w:t xml:space="preserve"> Autopista Rio Magdalena S.A.S., 2016.</w:t>
      </w:r>
    </w:p>
    <w:bookmarkEnd w:id="96"/>
    <w:p w:rsidR="005645E8" w:rsidRPr="005645E8" w:rsidRDefault="005645E8" w:rsidP="005645E8">
      <w:pPr>
        <w:rPr>
          <w:rFonts w:asciiTheme="majorHAnsi" w:hAnsiTheme="majorHAnsi"/>
          <w:sz w:val="18"/>
          <w:szCs w:val="18"/>
        </w:rPr>
      </w:pPr>
      <w:r w:rsidRPr="005645E8">
        <w:rPr>
          <w:rFonts w:asciiTheme="majorHAnsi" w:hAnsiTheme="majorHAnsi"/>
          <w:sz w:val="18"/>
          <w:szCs w:val="18"/>
        </w:rPr>
        <w:t>*: La tasa de absorción de CO2 de los bosques es de 5,21 tCO2/Ha/año se obtuvo del Panel Internacional sobre Cambio Climático (IPCC, 2001).</w:t>
      </w:r>
      <w:r w:rsidRPr="005645E8">
        <w:rPr>
          <w:rFonts w:asciiTheme="majorHAnsi" w:hAnsiTheme="majorHAnsi"/>
          <w:sz w:val="18"/>
          <w:szCs w:val="18"/>
        </w:rPr>
        <w:tab/>
      </w:r>
      <w:r w:rsidRPr="005645E8">
        <w:rPr>
          <w:rFonts w:asciiTheme="majorHAnsi" w:hAnsiTheme="majorHAnsi"/>
          <w:sz w:val="18"/>
          <w:szCs w:val="18"/>
        </w:rPr>
        <w:tab/>
      </w:r>
      <w:r w:rsidRPr="005645E8">
        <w:rPr>
          <w:rFonts w:asciiTheme="majorHAnsi" w:hAnsiTheme="majorHAnsi"/>
          <w:sz w:val="18"/>
          <w:szCs w:val="18"/>
        </w:rPr>
        <w:tab/>
      </w:r>
      <w:r w:rsidRPr="005645E8">
        <w:rPr>
          <w:rFonts w:asciiTheme="majorHAnsi" w:hAnsiTheme="majorHAnsi"/>
          <w:sz w:val="18"/>
          <w:szCs w:val="18"/>
        </w:rPr>
        <w:tab/>
      </w:r>
      <w:r w:rsidRPr="005645E8">
        <w:rPr>
          <w:rFonts w:asciiTheme="majorHAnsi" w:hAnsiTheme="majorHAnsi"/>
          <w:sz w:val="18"/>
          <w:szCs w:val="18"/>
        </w:rPr>
        <w:tab/>
      </w:r>
      <w:r w:rsidRPr="005645E8">
        <w:rPr>
          <w:rFonts w:asciiTheme="majorHAnsi" w:hAnsiTheme="majorHAnsi"/>
          <w:sz w:val="18"/>
          <w:szCs w:val="18"/>
        </w:rPr>
        <w:tab/>
      </w:r>
    </w:p>
    <w:p w:rsidR="005645E8" w:rsidRPr="005645E8" w:rsidRDefault="005645E8" w:rsidP="005645E8">
      <w:pPr>
        <w:rPr>
          <w:rFonts w:asciiTheme="majorHAnsi" w:hAnsiTheme="majorHAnsi"/>
          <w:sz w:val="18"/>
          <w:szCs w:val="18"/>
        </w:rPr>
      </w:pPr>
      <w:r w:rsidRPr="005645E8">
        <w:rPr>
          <w:rFonts w:asciiTheme="majorHAnsi" w:hAnsiTheme="majorHAnsi"/>
          <w:sz w:val="18"/>
          <w:szCs w:val="18"/>
        </w:rPr>
        <w:t>**: El valor de la tonelada de CO2 se obtuvo del Banco Mundial. Ton. CO2 = US$10 y se maneja con una tasa de cambio promedio para diciemb</w:t>
      </w:r>
      <w:r>
        <w:rPr>
          <w:rFonts w:asciiTheme="majorHAnsi" w:hAnsiTheme="majorHAnsi"/>
          <w:sz w:val="18"/>
          <w:szCs w:val="18"/>
        </w:rPr>
        <w:t>re de 2015 ($3.244,20/US$).</w:t>
      </w:r>
    </w:p>
    <w:p w:rsidR="00AA0A2C" w:rsidRPr="00AA0A2C" w:rsidRDefault="005645E8" w:rsidP="005645E8">
      <w:pPr>
        <w:rPr>
          <w:rFonts w:asciiTheme="majorHAnsi" w:hAnsiTheme="majorHAnsi"/>
          <w:sz w:val="18"/>
          <w:szCs w:val="18"/>
        </w:rPr>
      </w:pPr>
      <w:r w:rsidRPr="005645E8">
        <w:rPr>
          <w:rFonts w:asciiTheme="majorHAnsi" w:hAnsiTheme="majorHAnsi"/>
          <w:sz w:val="18"/>
          <w:szCs w:val="18"/>
        </w:rPr>
        <w:t>***: Se considera un periodo de cinco años en los que no habrá ganancias de captura de CO2, un primer año durante la tala y la plantación y cuatro años que tarda en recuperarse el bosque según Marwin Melga, 2006</w:t>
      </w:r>
      <w:r>
        <w:rPr>
          <w:rFonts w:asciiTheme="majorHAnsi" w:hAnsiTheme="majorHAnsi"/>
          <w:sz w:val="18"/>
          <w:szCs w:val="18"/>
        </w:rPr>
        <w:t>.</w:t>
      </w:r>
    </w:p>
    <w:p w:rsidR="00AA0A2C" w:rsidRPr="00AA0A2C" w:rsidRDefault="00AA0A2C" w:rsidP="00AA0A2C">
      <w:pPr>
        <w:rPr>
          <w:rFonts w:asciiTheme="majorHAnsi" w:hAnsiTheme="majorHAnsi"/>
        </w:rPr>
      </w:pPr>
    </w:p>
    <w:p w:rsidR="00AA0A2C" w:rsidRPr="00AA0A2C" w:rsidRDefault="00AA0A2C" w:rsidP="00AA0A2C">
      <w:pPr>
        <w:rPr>
          <w:rFonts w:asciiTheme="majorHAnsi" w:hAnsiTheme="majorHAnsi"/>
          <w:b/>
        </w:rPr>
      </w:pPr>
      <w:r w:rsidRPr="00AA0A2C">
        <w:rPr>
          <w:rFonts w:asciiTheme="majorHAnsi" w:hAnsiTheme="majorHAnsi"/>
          <w:b/>
        </w:rPr>
        <w:t xml:space="preserve">Aprovechamiento forestal </w:t>
      </w:r>
    </w:p>
    <w:p w:rsidR="00AA0A2C" w:rsidRPr="00AA0A2C" w:rsidRDefault="00AA0A2C" w:rsidP="00AA0A2C">
      <w:pPr>
        <w:rPr>
          <w:rFonts w:asciiTheme="majorHAnsi" w:hAnsiTheme="majorHAnsi" w:cs="Arial"/>
          <w:lang w:val="es-MX"/>
        </w:rPr>
      </w:pPr>
    </w:p>
    <w:p w:rsidR="00AA0A2C" w:rsidRDefault="00AA0A2C" w:rsidP="00AA0A2C">
      <w:pPr>
        <w:rPr>
          <w:rFonts w:asciiTheme="majorHAnsi" w:hAnsiTheme="majorHAnsi" w:cs="Arial"/>
          <w:b/>
        </w:rPr>
      </w:pPr>
      <w:r w:rsidRPr="00AA0A2C">
        <w:rPr>
          <w:rFonts w:asciiTheme="majorHAnsi" w:hAnsiTheme="majorHAnsi" w:cs="Arial"/>
          <w:lang w:val="es-MX"/>
        </w:rPr>
        <w:t xml:space="preserve">En el Capítulo de Demanda </w:t>
      </w:r>
      <w:r w:rsidR="005645E8">
        <w:rPr>
          <w:rFonts w:asciiTheme="majorHAnsi" w:hAnsiTheme="majorHAnsi" w:cs="Arial"/>
          <w:lang w:val="es-MX"/>
        </w:rPr>
        <w:t>de Recursos Naturales</w:t>
      </w:r>
      <w:r w:rsidRPr="00AA0A2C">
        <w:rPr>
          <w:rFonts w:asciiTheme="majorHAnsi" w:hAnsiTheme="majorHAnsi" w:cs="Arial"/>
        </w:rPr>
        <w:t xml:space="preserve">, se establece que se solicita permiso de aprovechamiento forestal, </w:t>
      </w:r>
      <w:r w:rsidR="005645E8">
        <w:rPr>
          <w:rFonts w:asciiTheme="majorHAnsi" w:hAnsiTheme="majorHAnsi" w:cs="Arial"/>
        </w:rPr>
        <w:t>necesario</w:t>
      </w:r>
      <w:r w:rsidRPr="00AA0A2C">
        <w:rPr>
          <w:rFonts w:asciiTheme="majorHAnsi" w:hAnsiTheme="majorHAnsi" w:cs="Arial"/>
        </w:rPr>
        <w:t xml:space="preserve"> para la construcción de vía en superficie, viaductos, </w:t>
      </w:r>
      <w:r w:rsidRPr="005645E8">
        <w:rPr>
          <w:rFonts w:asciiTheme="majorHAnsi" w:hAnsiTheme="majorHAnsi" w:cs="Arial"/>
        </w:rPr>
        <w:t xml:space="preserve">puentes, y áreas industriales, durante su etapa de construcción. La siguiente Tabla </w:t>
      </w:r>
      <w:r w:rsidRPr="005645E8">
        <w:rPr>
          <w:rFonts w:asciiTheme="majorHAnsi" w:hAnsiTheme="majorHAnsi" w:cs="Arial"/>
          <w:lang w:val="es-MX"/>
        </w:rPr>
        <w:t xml:space="preserve">muestra que el valor total del impacto por el </w:t>
      </w:r>
      <w:r w:rsidRPr="005645E8">
        <w:rPr>
          <w:rFonts w:asciiTheme="majorHAnsi" w:hAnsiTheme="majorHAnsi" w:cs="Arial"/>
        </w:rPr>
        <w:t xml:space="preserve">volumen maderable a remover es de </w:t>
      </w:r>
      <w:r w:rsidRPr="005645E8">
        <w:rPr>
          <w:rFonts w:asciiTheme="majorHAnsi" w:hAnsiTheme="majorHAnsi" w:cs="Arial"/>
          <w:b/>
        </w:rPr>
        <w:t>$</w:t>
      </w:r>
      <w:r w:rsidR="005645E8" w:rsidRPr="005645E8">
        <w:rPr>
          <w:rFonts w:asciiTheme="majorHAnsi" w:hAnsiTheme="majorHAnsi" w:cs="Arial"/>
          <w:b/>
        </w:rPr>
        <w:t>17.065.794.</w:t>
      </w:r>
    </w:p>
    <w:p w:rsidR="005645E8" w:rsidRDefault="005645E8">
      <w:pPr>
        <w:spacing w:line="240" w:lineRule="auto"/>
        <w:contextualSpacing w:val="0"/>
        <w:jc w:val="left"/>
        <w:rPr>
          <w:b/>
          <w:bCs/>
          <w:sz w:val="20"/>
          <w:szCs w:val="20"/>
        </w:rPr>
      </w:pPr>
    </w:p>
    <w:p w:rsidR="005645E8" w:rsidRPr="00AA0A2C" w:rsidRDefault="005645E8" w:rsidP="005645E8">
      <w:pPr>
        <w:pStyle w:val="Tablas"/>
        <w:rPr>
          <w:rFonts w:asciiTheme="majorHAnsi" w:hAnsiTheme="majorHAnsi" w:cs="Arial"/>
        </w:rPr>
      </w:pPr>
      <w:r>
        <w:t xml:space="preserve">Tabla </w:t>
      </w:r>
      <w:r w:rsidR="006D0D6E">
        <w:fldChar w:fldCharType="begin"/>
      </w:r>
      <w:r w:rsidR="006D0D6E">
        <w:instrText xml:space="preserve"> STYLEREF 1 \s </w:instrText>
      </w:r>
      <w:r w:rsidR="006D0D6E">
        <w:fldChar w:fldCharType="separate"/>
      </w:r>
      <w:r w:rsidR="006D0D6E">
        <w:rPr>
          <w:noProof/>
        </w:rPr>
        <w:t>10</w:t>
      </w:r>
      <w:r w:rsidR="006D0D6E">
        <w:fldChar w:fldCharType="end"/>
      </w:r>
      <w:r w:rsidR="006D0D6E">
        <w:t>.</w:t>
      </w:r>
      <w:r w:rsidR="006D0D6E">
        <w:fldChar w:fldCharType="begin"/>
      </w:r>
      <w:r w:rsidR="006D0D6E">
        <w:instrText xml:space="preserve"> SEQ Tabla \* ARABIC \s 1 </w:instrText>
      </w:r>
      <w:r w:rsidR="006D0D6E">
        <w:fldChar w:fldCharType="separate"/>
      </w:r>
      <w:r w:rsidR="006D0D6E">
        <w:rPr>
          <w:noProof/>
        </w:rPr>
        <w:t>15</w:t>
      </w:r>
      <w:r w:rsidR="006D0D6E">
        <w:fldChar w:fldCharType="end"/>
      </w:r>
      <w:r>
        <w:t xml:space="preserve"> </w:t>
      </w:r>
      <w:r w:rsidRPr="00AA0A2C">
        <w:rPr>
          <w:rFonts w:asciiTheme="majorHAnsi" w:hAnsiTheme="majorHAnsi"/>
        </w:rPr>
        <w:t>Aprovechamiento forestal en Construcción</w:t>
      </w:r>
    </w:p>
    <w:tbl>
      <w:tblPr>
        <w:tblStyle w:val="Gminis"/>
        <w:tblW w:w="5000" w:type="pct"/>
        <w:tblLook w:val="04A0" w:firstRow="1" w:lastRow="0" w:firstColumn="1" w:lastColumn="0" w:noHBand="0" w:noVBand="1"/>
      </w:tblPr>
      <w:tblGrid>
        <w:gridCol w:w="1412"/>
        <w:gridCol w:w="681"/>
        <w:gridCol w:w="962"/>
        <w:gridCol w:w="877"/>
        <w:gridCol w:w="1062"/>
        <w:gridCol w:w="986"/>
        <w:gridCol w:w="1173"/>
        <w:gridCol w:w="1108"/>
      </w:tblGrid>
      <w:tr w:rsidR="005645E8" w:rsidRPr="005645E8" w:rsidTr="00A243FB">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gridSpan w:val="8"/>
            <w:tcBorders>
              <w:top w:val="none" w:sz="0" w:space="0" w:color="auto"/>
              <w:left w:val="none" w:sz="0" w:space="0" w:color="auto"/>
              <w:bottom w:val="none" w:sz="0" w:space="0" w:color="auto"/>
              <w:right w:val="none" w:sz="0" w:space="0" w:color="auto"/>
            </w:tcBorders>
            <w:noWrap/>
            <w:vAlign w:val="center"/>
            <w:hideMark/>
          </w:tcPr>
          <w:p w:rsidR="005645E8" w:rsidRPr="005645E8" w:rsidRDefault="005645E8" w:rsidP="00A243FB">
            <w:pPr>
              <w:spacing w:line="240" w:lineRule="auto"/>
              <w:contextualSpacing w:val="0"/>
              <w:jc w:val="center"/>
              <w:rPr>
                <w:rFonts w:eastAsia="Times New Roman"/>
                <w:bCs/>
                <w:color w:val="000000"/>
                <w:sz w:val="18"/>
                <w:szCs w:val="18"/>
                <w:lang w:eastAsia="es-CO"/>
              </w:rPr>
            </w:pPr>
            <w:r w:rsidRPr="005645E8">
              <w:rPr>
                <w:rFonts w:eastAsia="Times New Roman"/>
                <w:bCs/>
                <w:color w:val="000000"/>
                <w:sz w:val="18"/>
                <w:szCs w:val="18"/>
                <w:lang w:eastAsia="es-CO"/>
              </w:rPr>
              <w:t>APROVECHAMIENTO FORESTAL</w:t>
            </w:r>
          </w:p>
        </w:tc>
      </w:tr>
      <w:tr w:rsidR="005645E8" w:rsidRPr="005645E8" w:rsidTr="00A243FB">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8"/>
            <w:tcBorders>
              <w:left w:val="none" w:sz="0" w:space="0" w:color="auto"/>
            </w:tcBorders>
            <w:vAlign w:val="center"/>
            <w:hideMark/>
          </w:tcPr>
          <w:p w:rsidR="005645E8" w:rsidRPr="005645E8" w:rsidRDefault="005645E8" w:rsidP="00A243FB">
            <w:pPr>
              <w:spacing w:line="240" w:lineRule="auto"/>
              <w:contextualSpacing w:val="0"/>
              <w:jc w:val="center"/>
              <w:rPr>
                <w:rFonts w:eastAsia="Times New Roman"/>
                <w:b/>
                <w:bCs/>
                <w:color w:val="000000"/>
                <w:sz w:val="18"/>
                <w:szCs w:val="18"/>
                <w:lang w:eastAsia="es-CO"/>
              </w:rPr>
            </w:pPr>
            <w:r w:rsidRPr="005645E8">
              <w:rPr>
                <w:rFonts w:eastAsia="Times New Roman"/>
                <w:b/>
                <w:bCs/>
                <w:color w:val="000000"/>
                <w:sz w:val="18"/>
                <w:szCs w:val="18"/>
                <w:lang w:eastAsia="es-CO"/>
              </w:rPr>
              <w:t>Componente biótico aprovechamiento forestal en Construcción</w:t>
            </w:r>
          </w:p>
        </w:tc>
      </w:tr>
      <w:tr w:rsidR="005645E8" w:rsidRPr="005645E8" w:rsidTr="00A243FB">
        <w:trPr>
          <w:trHeight w:val="217"/>
        </w:trPr>
        <w:tc>
          <w:tcPr>
            <w:cnfStyle w:val="001000000000" w:firstRow="0" w:lastRow="0" w:firstColumn="1" w:lastColumn="0" w:oddVBand="0" w:evenVBand="0" w:oddHBand="0" w:evenHBand="0" w:firstRowFirstColumn="0" w:firstRowLastColumn="0" w:lastRowFirstColumn="0" w:lastRowLastColumn="0"/>
            <w:tcW w:w="855" w:type="pct"/>
            <w:vMerge w:val="restart"/>
            <w:tcBorders>
              <w:left w:val="none" w:sz="0" w:space="0" w:color="auto"/>
            </w:tcBorders>
            <w:textDirection w:val="btLr"/>
            <w:vAlign w:val="center"/>
            <w:hideMark/>
          </w:tcPr>
          <w:p w:rsidR="005645E8" w:rsidRPr="005645E8" w:rsidRDefault="005645E8" w:rsidP="00A243FB">
            <w:pPr>
              <w:spacing w:line="240" w:lineRule="auto"/>
              <w:ind w:left="113" w:right="113"/>
              <w:contextualSpacing w:val="0"/>
              <w:jc w:val="center"/>
              <w:rPr>
                <w:rFonts w:eastAsia="Times New Roman"/>
                <w:b/>
                <w:bCs/>
                <w:color w:val="000000"/>
                <w:sz w:val="18"/>
                <w:szCs w:val="18"/>
                <w:lang w:eastAsia="es-CO"/>
              </w:rPr>
            </w:pPr>
            <w:r w:rsidRPr="005645E8">
              <w:rPr>
                <w:rFonts w:eastAsia="Times New Roman"/>
                <w:b/>
                <w:bCs/>
                <w:color w:val="000000"/>
                <w:sz w:val="18"/>
                <w:szCs w:val="18"/>
                <w:lang w:eastAsia="es-CO"/>
              </w:rPr>
              <w:t>COBERTURA VEGETAL</w:t>
            </w:r>
          </w:p>
        </w:tc>
        <w:tc>
          <w:tcPr>
            <w:tcW w:w="412" w:type="pct"/>
            <w:vMerge w:val="restart"/>
            <w:textDirection w:val="btLr"/>
            <w:vAlign w:val="center"/>
            <w:hideMark/>
          </w:tcPr>
          <w:p w:rsidR="005645E8" w:rsidRPr="005645E8" w:rsidRDefault="005645E8" w:rsidP="00A243FB">
            <w:pPr>
              <w:spacing w:line="240" w:lineRule="auto"/>
              <w:ind w:left="113" w:right="113"/>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5645E8">
              <w:rPr>
                <w:rFonts w:eastAsia="Times New Roman"/>
                <w:b/>
                <w:bCs/>
                <w:color w:val="000000"/>
                <w:sz w:val="18"/>
                <w:szCs w:val="18"/>
                <w:lang w:eastAsia="es-CO"/>
              </w:rPr>
              <w:t>Nº Hectáreas</w:t>
            </w:r>
          </w:p>
        </w:tc>
        <w:tc>
          <w:tcPr>
            <w:tcW w:w="582" w:type="pct"/>
            <w:vMerge w:val="restart"/>
            <w:textDirection w:val="btLr"/>
            <w:vAlign w:val="center"/>
            <w:hideMark/>
          </w:tcPr>
          <w:p w:rsidR="005645E8" w:rsidRPr="005645E8" w:rsidRDefault="005645E8" w:rsidP="00A243FB">
            <w:pPr>
              <w:spacing w:line="240" w:lineRule="auto"/>
              <w:ind w:left="113" w:right="113"/>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5645E8">
              <w:rPr>
                <w:rFonts w:eastAsia="Times New Roman"/>
                <w:b/>
                <w:bCs/>
                <w:color w:val="000000"/>
                <w:sz w:val="18"/>
                <w:szCs w:val="18"/>
                <w:lang w:eastAsia="es-CO"/>
              </w:rPr>
              <w:t>Volumen Comercial (m</w:t>
            </w:r>
            <w:r w:rsidRPr="005645E8">
              <w:rPr>
                <w:rFonts w:eastAsia="Times New Roman"/>
                <w:b/>
                <w:bCs/>
                <w:color w:val="000000"/>
                <w:sz w:val="18"/>
                <w:szCs w:val="18"/>
                <w:vertAlign w:val="superscript"/>
                <w:lang w:eastAsia="es-CO"/>
              </w:rPr>
              <w:t>3</w:t>
            </w:r>
            <w:r w:rsidRPr="005645E8">
              <w:rPr>
                <w:rFonts w:eastAsia="Times New Roman"/>
                <w:b/>
                <w:bCs/>
                <w:color w:val="000000"/>
                <w:sz w:val="18"/>
                <w:szCs w:val="18"/>
                <w:lang w:eastAsia="es-CO"/>
              </w:rPr>
              <w:t xml:space="preserve">) </w:t>
            </w:r>
            <w:r w:rsidRPr="005645E8">
              <w:rPr>
                <w:rFonts w:eastAsia="Times New Roman"/>
                <w:b/>
                <w:bCs/>
                <w:color w:val="000000"/>
                <w:sz w:val="18"/>
                <w:szCs w:val="18"/>
                <w:vertAlign w:val="superscript"/>
                <w:lang w:eastAsia="es-CO"/>
              </w:rPr>
              <w:t>*</w:t>
            </w:r>
          </w:p>
        </w:tc>
        <w:tc>
          <w:tcPr>
            <w:tcW w:w="531" w:type="pct"/>
            <w:vMerge w:val="restart"/>
            <w:textDirection w:val="btLr"/>
            <w:vAlign w:val="center"/>
            <w:hideMark/>
          </w:tcPr>
          <w:p w:rsidR="005645E8" w:rsidRPr="005645E8" w:rsidRDefault="005645E8" w:rsidP="00A243FB">
            <w:pPr>
              <w:spacing w:line="240" w:lineRule="auto"/>
              <w:ind w:left="113" w:right="113"/>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5645E8">
              <w:rPr>
                <w:rFonts w:eastAsia="Times New Roman"/>
                <w:b/>
                <w:bCs/>
                <w:color w:val="000000"/>
                <w:sz w:val="18"/>
                <w:szCs w:val="18"/>
                <w:lang w:eastAsia="es-CO"/>
              </w:rPr>
              <w:t>Volumen Total (m</w:t>
            </w:r>
            <w:r w:rsidRPr="005645E8">
              <w:rPr>
                <w:rFonts w:eastAsia="Times New Roman"/>
                <w:b/>
                <w:bCs/>
                <w:color w:val="000000"/>
                <w:sz w:val="18"/>
                <w:szCs w:val="18"/>
                <w:vertAlign w:val="superscript"/>
                <w:lang w:eastAsia="es-CO"/>
              </w:rPr>
              <w:t>3</w:t>
            </w:r>
            <w:r w:rsidRPr="005645E8">
              <w:rPr>
                <w:rFonts w:eastAsia="Times New Roman"/>
                <w:b/>
                <w:bCs/>
                <w:color w:val="000000"/>
                <w:sz w:val="18"/>
                <w:szCs w:val="18"/>
                <w:lang w:eastAsia="es-CO"/>
              </w:rPr>
              <w:t xml:space="preserve">) </w:t>
            </w:r>
            <w:r w:rsidRPr="005645E8">
              <w:rPr>
                <w:rFonts w:eastAsia="Times New Roman"/>
                <w:b/>
                <w:bCs/>
                <w:color w:val="000000"/>
                <w:sz w:val="18"/>
                <w:szCs w:val="18"/>
                <w:vertAlign w:val="superscript"/>
                <w:lang w:eastAsia="es-CO"/>
              </w:rPr>
              <w:t>*</w:t>
            </w:r>
          </w:p>
        </w:tc>
        <w:tc>
          <w:tcPr>
            <w:tcW w:w="643" w:type="pct"/>
            <w:vMerge w:val="restart"/>
            <w:textDirection w:val="btLr"/>
            <w:vAlign w:val="center"/>
            <w:hideMark/>
          </w:tcPr>
          <w:p w:rsidR="005645E8" w:rsidRPr="005645E8" w:rsidRDefault="005645E8" w:rsidP="00A243FB">
            <w:pPr>
              <w:spacing w:line="240" w:lineRule="auto"/>
              <w:ind w:left="113" w:right="113"/>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5645E8">
              <w:rPr>
                <w:rFonts w:eastAsia="Times New Roman"/>
                <w:b/>
                <w:bCs/>
                <w:color w:val="000000"/>
                <w:sz w:val="18"/>
                <w:szCs w:val="18"/>
                <w:lang w:eastAsia="es-CO"/>
              </w:rPr>
              <w:t>Valor Comercial Aserradero ($/m</w:t>
            </w:r>
            <w:r w:rsidRPr="005645E8">
              <w:rPr>
                <w:rFonts w:eastAsia="Times New Roman"/>
                <w:b/>
                <w:bCs/>
                <w:color w:val="000000"/>
                <w:sz w:val="18"/>
                <w:szCs w:val="18"/>
                <w:vertAlign w:val="superscript"/>
                <w:lang w:eastAsia="es-CO"/>
              </w:rPr>
              <w:t>3</w:t>
            </w:r>
            <w:r w:rsidRPr="005645E8">
              <w:rPr>
                <w:rFonts w:eastAsia="Times New Roman"/>
                <w:b/>
                <w:bCs/>
                <w:color w:val="000000"/>
                <w:sz w:val="18"/>
                <w:szCs w:val="18"/>
                <w:lang w:eastAsia="es-CO"/>
              </w:rPr>
              <w:t xml:space="preserve">) </w:t>
            </w:r>
            <w:r w:rsidRPr="005645E8">
              <w:rPr>
                <w:rFonts w:eastAsia="Times New Roman"/>
                <w:b/>
                <w:bCs/>
                <w:color w:val="000000"/>
                <w:sz w:val="18"/>
                <w:szCs w:val="18"/>
                <w:vertAlign w:val="superscript"/>
                <w:lang w:eastAsia="es-CO"/>
              </w:rPr>
              <w:t>**</w:t>
            </w:r>
          </w:p>
        </w:tc>
        <w:tc>
          <w:tcPr>
            <w:tcW w:w="597" w:type="pct"/>
            <w:vMerge w:val="restart"/>
            <w:textDirection w:val="btLr"/>
            <w:vAlign w:val="center"/>
            <w:hideMark/>
          </w:tcPr>
          <w:p w:rsidR="005645E8" w:rsidRPr="005645E8" w:rsidRDefault="005645E8" w:rsidP="00A243FB">
            <w:pPr>
              <w:spacing w:line="240" w:lineRule="auto"/>
              <w:ind w:left="113" w:right="113"/>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5645E8">
              <w:rPr>
                <w:rFonts w:eastAsia="Times New Roman"/>
                <w:b/>
                <w:bCs/>
                <w:color w:val="000000"/>
                <w:sz w:val="18"/>
                <w:szCs w:val="18"/>
                <w:lang w:eastAsia="es-CO"/>
              </w:rPr>
              <w:t>Valor Comercial leña, varas de cultivo y artesanías ($/m</w:t>
            </w:r>
            <w:r w:rsidRPr="005645E8">
              <w:rPr>
                <w:rFonts w:eastAsia="Times New Roman"/>
                <w:b/>
                <w:bCs/>
                <w:color w:val="000000"/>
                <w:sz w:val="18"/>
                <w:szCs w:val="18"/>
                <w:vertAlign w:val="superscript"/>
                <w:lang w:eastAsia="es-CO"/>
              </w:rPr>
              <w:t>3</w:t>
            </w:r>
            <w:r w:rsidRPr="005645E8">
              <w:rPr>
                <w:rFonts w:eastAsia="Times New Roman"/>
                <w:b/>
                <w:bCs/>
                <w:color w:val="000000"/>
                <w:sz w:val="18"/>
                <w:szCs w:val="18"/>
                <w:lang w:eastAsia="es-CO"/>
              </w:rPr>
              <w:t xml:space="preserve">) </w:t>
            </w:r>
            <w:r w:rsidRPr="005645E8">
              <w:rPr>
                <w:rFonts w:eastAsia="Times New Roman"/>
                <w:b/>
                <w:bCs/>
                <w:color w:val="000000"/>
                <w:sz w:val="18"/>
                <w:szCs w:val="18"/>
                <w:vertAlign w:val="superscript"/>
                <w:lang w:eastAsia="es-CO"/>
              </w:rPr>
              <w:t>**</w:t>
            </w:r>
          </w:p>
        </w:tc>
        <w:tc>
          <w:tcPr>
            <w:tcW w:w="710" w:type="pct"/>
            <w:vMerge w:val="restart"/>
            <w:shd w:val="clear" w:color="auto" w:fill="F2F2F2" w:themeFill="background1" w:themeFillShade="F2"/>
            <w:textDirection w:val="btLr"/>
            <w:vAlign w:val="center"/>
            <w:hideMark/>
          </w:tcPr>
          <w:p w:rsidR="005645E8" w:rsidRPr="005645E8" w:rsidRDefault="005645E8" w:rsidP="00A243FB">
            <w:pPr>
              <w:spacing w:line="240" w:lineRule="auto"/>
              <w:ind w:left="113" w:right="113"/>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5645E8">
              <w:rPr>
                <w:rFonts w:eastAsia="Times New Roman"/>
                <w:b/>
                <w:bCs/>
                <w:color w:val="000000"/>
                <w:sz w:val="18"/>
                <w:szCs w:val="18"/>
                <w:lang w:eastAsia="es-CO"/>
              </w:rPr>
              <w:t>Valor Total ($)</w:t>
            </w:r>
          </w:p>
        </w:tc>
        <w:tc>
          <w:tcPr>
            <w:tcW w:w="671" w:type="pct"/>
            <w:vMerge w:val="restart"/>
            <w:textDirection w:val="btLr"/>
            <w:vAlign w:val="center"/>
            <w:hideMark/>
          </w:tcPr>
          <w:p w:rsidR="005645E8" w:rsidRPr="005645E8" w:rsidRDefault="005645E8" w:rsidP="00A243FB">
            <w:pPr>
              <w:spacing w:line="240" w:lineRule="auto"/>
              <w:ind w:left="113" w:right="113"/>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5645E8">
              <w:rPr>
                <w:rFonts w:eastAsia="Times New Roman"/>
                <w:b/>
                <w:bCs/>
                <w:color w:val="000000"/>
                <w:sz w:val="18"/>
                <w:szCs w:val="18"/>
                <w:lang w:eastAsia="es-CO"/>
              </w:rPr>
              <w:t>Valor Presente Neto ($)</w:t>
            </w:r>
          </w:p>
        </w:tc>
      </w:tr>
      <w:tr w:rsidR="005645E8" w:rsidRPr="005645E8" w:rsidTr="00A243FB">
        <w:trPr>
          <w:trHeight w:val="1523"/>
        </w:trPr>
        <w:tc>
          <w:tcPr>
            <w:cnfStyle w:val="001000000000" w:firstRow="0" w:lastRow="0" w:firstColumn="1" w:lastColumn="0" w:oddVBand="0" w:evenVBand="0" w:oddHBand="0" w:evenHBand="0" w:firstRowFirstColumn="0" w:firstRowLastColumn="0" w:lastRowFirstColumn="0" w:lastRowLastColumn="0"/>
            <w:tcW w:w="855" w:type="pct"/>
            <w:vMerge/>
            <w:tcBorders>
              <w:left w:val="none" w:sz="0" w:space="0" w:color="auto"/>
            </w:tcBorders>
            <w:vAlign w:val="center"/>
            <w:hideMark/>
          </w:tcPr>
          <w:p w:rsidR="005645E8" w:rsidRPr="005645E8" w:rsidRDefault="005645E8" w:rsidP="00A243FB">
            <w:pPr>
              <w:spacing w:line="240" w:lineRule="auto"/>
              <w:contextualSpacing w:val="0"/>
              <w:jc w:val="center"/>
              <w:rPr>
                <w:rFonts w:eastAsia="Times New Roman"/>
                <w:b/>
                <w:bCs/>
                <w:color w:val="000000"/>
                <w:sz w:val="18"/>
                <w:szCs w:val="18"/>
                <w:lang w:eastAsia="es-CO"/>
              </w:rPr>
            </w:pPr>
          </w:p>
        </w:tc>
        <w:tc>
          <w:tcPr>
            <w:tcW w:w="412" w:type="pct"/>
            <w:vMerge/>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p>
        </w:tc>
        <w:tc>
          <w:tcPr>
            <w:tcW w:w="582" w:type="pct"/>
            <w:vMerge/>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p>
        </w:tc>
        <w:tc>
          <w:tcPr>
            <w:tcW w:w="531" w:type="pct"/>
            <w:vMerge/>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p>
        </w:tc>
        <w:tc>
          <w:tcPr>
            <w:tcW w:w="643" w:type="pct"/>
            <w:vMerge/>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p>
        </w:tc>
        <w:tc>
          <w:tcPr>
            <w:tcW w:w="597" w:type="pct"/>
            <w:vMerge/>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p>
        </w:tc>
        <w:tc>
          <w:tcPr>
            <w:tcW w:w="710" w:type="pct"/>
            <w:vMerge/>
            <w:shd w:val="clear" w:color="auto" w:fill="F2F2F2" w:themeFill="background1" w:themeFillShade="F2"/>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p>
        </w:tc>
        <w:tc>
          <w:tcPr>
            <w:tcW w:w="671" w:type="pct"/>
            <w:vMerge/>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p>
        </w:tc>
      </w:tr>
      <w:tr w:rsidR="005645E8" w:rsidRPr="005645E8" w:rsidTr="00A243FB">
        <w:trPr>
          <w:trHeight w:val="20"/>
        </w:trPr>
        <w:tc>
          <w:tcPr>
            <w:cnfStyle w:val="001000000000" w:firstRow="0" w:lastRow="0" w:firstColumn="1" w:lastColumn="0" w:oddVBand="0" w:evenVBand="0" w:oddHBand="0" w:evenHBand="0" w:firstRowFirstColumn="0" w:firstRowLastColumn="0" w:lastRowFirstColumn="0" w:lastRowLastColumn="0"/>
            <w:tcW w:w="855" w:type="pct"/>
            <w:tcBorders>
              <w:left w:val="none" w:sz="0" w:space="0" w:color="auto"/>
            </w:tcBorders>
            <w:vAlign w:val="center"/>
            <w:hideMark/>
          </w:tcPr>
          <w:p w:rsidR="005645E8" w:rsidRPr="005645E8" w:rsidRDefault="005645E8" w:rsidP="00A243FB">
            <w:pPr>
              <w:spacing w:line="240" w:lineRule="auto"/>
              <w:contextualSpacing w:val="0"/>
              <w:jc w:val="center"/>
              <w:rPr>
                <w:rFonts w:eastAsia="Times New Roman"/>
                <w:sz w:val="18"/>
                <w:szCs w:val="18"/>
                <w:lang w:eastAsia="es-CO"/>
              </w:rPr>
            </w:pPr>
            <w:r w:rsidRPr="005645E8">
              <w:rPr>
                <w:rFonts w:eastAsia="Times New Roman"/>
                <w:sz w:val="18"/>
                <w:szCs w:val="18"/>
                <w:lang w:eastAsia="es-CO"/>
              </w:rPr>
              <w:t>Bosque abierto</w:t>
            </w:r>
          </w:p>
        </w:tc>
        <w:tc>
          <w:tcPr>
            <w:tcW w:w="412" w:type="pct"/>
            <w:noWrap/>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0,70</w:t>
            </w:r>
          </w:p>
        </w:tc>
        <w:tc>
          <w:tcPr>
            <w:tcW w:w="582" w:type="pct"/>
            <w:noWrap/>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15,72</w:t>
            </w:r>
          </w:p>
        </w:tc>
        <w:tc>
          <w:tcPr>
            <w:tcW w:w="531" w:type="pct"/>
            <w:noWrap/>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22,72</w:t>
            </w:r>
          </w:p>
        </w:tc>
        <w:tc>
          <w:tcPr>
            <w:tcW w:w="643" w:type="pct"/>
            <w:noWrap/>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33.118</w:t>
            </w:r>
          </w:p>
        </w:tc>
        <w:tc>
          <w:tcPr>
            <w:tcW w:w="597" w:type="pct"/>
            <w:noWrap/>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11.253</w:t>
            </w:r>
          </w:p>
        </w:tc>
        <w:tc>
          <w:tcPr>
            <w:tcW w:w="710" w:type="pct"/>
            <w:shd w:val="clear" w:color="auto" w:fill="F2F2F2" w:themeFill="background1" w:themeFillShade="F2"/>
            <w:noWrap/>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5645E8">
              <w:rPr>
                <w:rFonts w:eastAsia="Times New Roman"/>
                <w:b/>
                <w:bCs/>
                <w:color w:val="000000"/>
                <w:sz w:val="18"/>
                <w:szCs w:val="18"/>
                <w:lang w:eastAsia="es-CO"/>
              </w:rPr>
              <w:t>776.283</w:t>
            </w:r>
          </w:p>
        </w:tc>
        <w:tc>
          <w:tcPr>
            <w:tcW w:w="671" w:type="pct"/>
            <w:noWrap/>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693.110</w:t>
            </w:r>
          </w:p>
        </w:tc>
      </w:tr>
      <w:tr w:rsidR="005645E8" w:rsidRPr="005645E8" w:rsidTr="00A243FB">
        <w:trPr>
          <w:trHeight w:val="20"/>
        </w:trPr>
        <w:tc>
          <w:tcPr>
            <w:cnfStyle w:val="001000000000" w:firstRow="0" w:lastRow="0" w:firstColumn="1" w:lastColumn="0" w:oddVBand="0" w:evenVBand="0" w:oddHBand="0" w:evenHBand="0" w:firstRowFirstColumn="0" w:firstRowLastColumn="0" w:lastRowFirstColumn="0" w:lastRowLastColumn="0"/>
            <w:tcW w:w="855" w:type="pct"/>
            <w:tcBorders>
              <w:left w:val="none" w:sz="0" w:space="0" w:color="auto"/>
            </w:tcBorders>
            <w:vAlign w:val="center"/>
            <w:hideMark/>
          </w:tcPr>
          <w:p w:rsidR="005645E8" w:rsidRPr="005645E8" w:rsidRDefault="005645E8" w:rsidP="00A243FB">
            <w:pPr>
              <w:spacing w:line="240" w:lineRule="auto"/>
              <w:contextualSpacing w:val="0"/>
              <w:jc w:val="center"/>
              <w:rPr>
                <w:rFonts w:eastAsia="Times New Roman"/>
                <w:sz w:val="18"/>
                <w:szCs w:val="18"/>
                <w:lang w:eastAsia="es-CO"/>
              </w:rPr>
            </w:pPr>
            <w:r w:rsidRPr="005645E8">
              <w:rPr>
                <w:rFonts w:eastAsia="Times New Roman"/>
                <w:sz w:val="18"/>
                <w:szCs w:val="18"/>
                <w:lang w:eastAsia="es-CO"/>
              </w:rPr>
              <w:t>Bosque de galería y/o ripario</w:t>
            </w:r>
          </w:p>
        </w:tc>
        <w:tc>
          <w:tcPr>
            <w:tcW w:w="412" w:type="pct"/>
            <w:noWrap/>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2,33</w:t>
            </w:r>
          </w:p>
        </w:tc>
        <w:tc>
          <w:tcPr>
            <w:tcW w:w="582" w:type="pct"/>
            <w:noWrap/>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207,85</w:t>
            </w:r>
          </w:p>
        </w:tc>
        <w:tc>
          <w:tcPr>
            <w:tcW w:w="531" w:type="pct"/>
            <w:noWrap/>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276,28</w:t>
            </w:r>
          </w:p>
        </w:tc>
        <w:tc>
          <w:tcPr>
            <w:tcW w:w="643" w:type="pct"/>
            <w:noWrap/>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33.118</w:t>
            </w:r>
          </w:p>
        </w:tc>
        <w:tc>
          <w:tcPr>
            <w:tcW w:w="597" w:type="pct"/>
            <w:noWrap/>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11.253</w:t>
            </w:r>
          </w:p>
        </w:tc>
        <w:tc>
          <w:tcPr>
            <w:tcW w:w="710" w:type="pct"/>
            <w:shd w:val="clear" w:color="auto" w:fill="F2F2F2" w:themeFill="background1" w:themeFillShade="F2"/>
            <w:noWrap/>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5645E8">
              <w:rPr>
                <w:rFonts w:eastAsia="Times New Roman"/>
                <w:b/>
                <w:bCs/>
                <w:color w:val="000000"/>
                <w:sz w:val="18"/>
                <w:szCs w:val="18"/>
                <w:lang w:eastAsia="es-CO"/>
              </w:rPr>
              <w:t>9.992.555</w:t>
            </w:r>
          </w:p>
        </w:tc>
        <w:tc>
          <w:tcPr>
            <w:tcW w:w="671" w:type="pct"/>
            <w:noWrap/>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8.921.924</w:t>
            </w:r>
          </w:p>
        </w:tc>
      </w:tr>
      <w:tr w:rsidR="005645E8" w:rsidRPr="005645E8" w:rsidTr="00A243FB">
        <w:trPr>
          <w:trHeight w:val="20"/>
        </w:trPr>
        <w:tc>
          <w:tcPr>
            <w:cnfStyle w:val="001000000000" w:firstRow="0" w:lastRow="0" w:firstColumn="1" w:lastColumn="0" w:oddVBand="0" w:evenVBand="0" w:oddHBand="0" w:evenHBand="0" w:firstRowFirstColumn="0" w:firstRowLastColumn="0" w:lastRowFirstColumn="0" w:lastRowLastColumn="0"/>
            <w:tcW w:w="855" w:type="pct"/>
            <w:tcBorders>
              <w:left w:val="none" w:sz="0" w:space="0" w:color="auto"/>
            </w:tcBorders>
            <w:vAlign w:val="center"/>
            <w:hideMark/>
          </w:tcPr>
          <w:p w:rsidR="005645E8" w:rsidRPr="005645E8" w:rsidRDefault="005645E8" w:rsidP="00A243FB">
            <w:pPr>
              <w:spacing w:line="240" w:lineRule="auto"/>
              <w:contextualSpacing w:val="0"/>
              <w:jc w:val="center"/>
              <w:rPr>
                <w:rFonts w:eastAsia="Times New Roman"/>
                <w:sz w:val="18"/>
                <w:szCs w:val="18"/>
                <w:lang w:eastAsia="es-CO"/>
              </w:rPr>
            </w:pPr>
            <w:r w:rsidRPr="005645E8">
              <w:rPr>
                <w:rFonts w:eastAsia="Times New Roman"/>
                <w:sz w:val="18"/>
                <w:szCs w:val="18"/>
                <w:lang w:eastAsia="es-CO"/>
              </w:rPr>
              <w:t>Vegetación secundaria o en transición</w:t>
            </w:r>
          </w:p>
        </w:tc>
        <w:tc>
          <w:tcPr>
            <w:tcW w:w="412" w:type="pct"/>
            <w:noWrap/>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2,95</w:t>
            </w:r>
          </w:p>
        </w:tc>
        <w:tc>
          <w:tcPr>
            <w:tcW w:w="582" w:type="pct"/>
            <w:noWrap/>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175,61</w:t>
            </w:r>
          </w:p>
        </w:tc>
        <w:tc>
          <w:tcPr>
            <w:tcW w:w="531" w:type="pct"/>
            <w:noWrap/>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224,74</w:t>
            </w:r>
          </w:p>
        </w:tc>
        <w:tc>
          <w:tcPr>
            <w:tcW w:w="643" w:type="pct"/>
            <w:noWrap/>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33.118</w:t>
            </w:r>
          </w:p>
        </w:tc>
        <w:tc>
          <w:tcPr>
            <w:tcW w:w="597" w:type="pct"/>
            <w:noWrap/>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11.253</w:t>
            </w:r>
          </w:p>
        </w:tc>
        <w:tc>
          <w:tcPr>
            <w:tcW w:w="710" w:type="pct"/>
            <w:shd w:val="clear" w:color="auto" w:fill="F2F2F2" w:themeFill="background1" w:themeFillShade="F2"/>
            <w:noWrap/>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5645E8">
              <w:rPr>
                <w:rFonts w:eastAsia="Times New Roman"/>
                <w:b/>
                <w:bCs/>
                <w:color w:val="000000"/>
                <w:sz w:val="18"/>
                <w:szCs w:val="18"/>
                <w:lang w:eastAsia="es-CO"/>
              </w:rPr>
              <w:t>8.344.851</w:t>
            </w:r>
          </w:p>
        </w:tc>
        <w:tc>
          <w:tcPr>
            <w:tcW w:w="671" w:type="pct"/>
            <w:noWrap/>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7.450.760</w:t>
            </w:r>
          </w:p>
        </w:tc>
      </w:tr>
      <w:tr w:rsidR="005645E8" w:rsidRPr="005645E8" w:rsidTr="00A243FB">
        <w:trPr>
          <w:trHeight w:val="20"/>
        </w:trPr>
        <w:tc>
          <w:tcPr>
            <w:cnfStyle w:val="001000000000" w:firstRow="0" w:lastRow="0" w:firstColumn="1" w:lastColumn="0" w:oddVBand="0" w:evenVBand="0" w:oddHBand="0" w:evenHBand="0" w:firstRowFirstColumn="0" w:firstRowLastColumn="0" w:lastRowFirstColumn="0" w:lastRowLastColumn="0"/>
            <w:tcW w:w="3619" w:type="pct"/>
            <w:gridSpan w:val="6"/>
            <w:tcBorders>
              <w:left w:val="none" w:sz="0" w:space="0" w:color="auto"/>
            </w:tcBorders>
            <w:noWrap/>
            <w:vAlign w:val="center"/>
            <w:hideMark/>
          </w:tcPr>
          <w:p w:rsidR="005645E8" w:rsidRPr="005645E8" w:rsidRDefault="005645E8" w:rsidP="00A243FB">
            <w:pPr>
              <w:spacing w:line="240" w:lineRule="auto"/>
              <w:contextualSpacing w:val="0"/>
              <w:jc w:val="center"/>
              <w:rPr>
                <w:rFonts w:eastAsia="Times New Roman"/>
                <w:b/>
                <w:bCs/>
                <w:color w:val="000000"/>
                <w:sz w:val="18"/>
                <w:szCs w:val="18"/>
                <w:lang w:eastAsia="es-CO"/>
              </w:rPr>
            </w:pPr>
            <w:r w:rsidRPr="005645E8">
              <w:rPr>
                <w:rFonts w:eastAsia="Times New Roman"/>
                <w:b/>
                <w:bCs/>
                <w:color w:val="000000"/>
                <w:sz w:val="18"/>
                <w:szCs w:val="18"/>
                <w:lang w:eastAsia="es-CO"/>
              </w:rPr>
              <w:t>Valor total del Impacto</w:t>
            </w:r>
          </w:p>
        </w:tc>
        <w:tc>
          <w:tcPr>
            <w:tcW w:w="710" w:type="pct"/>
            <w:shd w:val="clear" w:color="auto" w:fill="F2F2F2" w:themeFill="background1" w:themeFillShade="F2"/>
            <w:noWrap/>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5645E8">
              <w:rPr>
                <w:rFonts w:eastAsia="Times New Roman"/>
                <w:b/>
                <w:bCs/>
                <w:color w:val="000000"/>
                <w:sz w:val="18"/>
                <w:szCs w:val="18"/>
                <w:lang w:eastAsia="es-CO"/>
              </w:rPr>
              <w:t>19.113.689</w:t>
            </w:r>
          </w:p>
        </w:tc>
        <w:tc>
          <w:tcPr>
            <w:tcW w:w="671" w:type="pct"/>
            <w:noWrap/>
            <w:vAlign w:val="center"/>
            <w:hideMark/>
          </w:tcPr>
          <w:p w:rsidR="005645E8" w:rsidRPr="005645E8" w:rsidRDefault="005645E8"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5645E8">
              <w:rPr>
                <w:rFonts w:eastAsia="Times New Roman"/>
                <w:color w:val="000000"/>
                <w:sz w:val="18"/>
                <w:szCs w:val="18"/>
                <w:lang w:eastAsia="es-CO"/>
              </w:rPr>
              <w:t>17.065.794</w:t>
            </w:r>
          </w:p>
        </w:tc>
      </w:tr>
    </w:tbl>
    <w:p w:rsidR="005645E8" w:rsidRPr="00AA0A2C" w:rsidRDefault="005645E8" w:rsidP="00A243FB">
      <w:pPr>
        <w:pStyle w:val="Notas"/>
      </w:pPr>
      <w:r w:rsidRPr="00AA0A2C">
        <w:t>Fuente: Autopista Rio Magdalena S.A.S., 2016.</w:t>
      </w:r>
    </w:p>
    <w:p w:rsidR="005645E8" w:rsidRPr="005645E8" w:rsidRDefault="005645E8" w:rsidP="005645E8">
      <w:pPr>
        <w:rPr>
          <w:rFonts w:asciiTheme="majorHAnsi" w:hAnsiTheme="majorHAnsi"/>
          <w:sz w:val="18"/>
          <w:szCs w:val="18"/>
        </w:rPr>
      </w:pPr>
      <w:r w:rsidRPr="005645E8">
        <w:rPr>
          <w:rFonts w:asciiTheme="majorHAnsi" w:hAnsiTheme="majorHAnsi"/>
          <w:sz w:val="18"/>
          <w:szCs w:val="18"/>
        </w:rPr>
        <w:t>*: Datos suministrados por Auto</w:t>
      </w:r>
      <w:r>
        <w:rPr>
          <w:rFonts w:asciiTheme="majorHAnsi" w:hAnsiTheme="majorHAnsi"/>
          <w:sz w:val="18"/>
          <w:szCs w:val="18"/>
        </w:rPr>
        <w:t>pista Río Magdalena S.A.S.</w:t>
      </w:r>
    </w:p>
    <w:p w:rsidR="00AA0A2C" w:rsidRPr="00AA0A2C" w:rsidRDefault="005645E8" w:rsidP="005645E8">
      <w:pPr>
        <w:rPr>
          <w:rFonts w:asciiTheme="majorHAnsi" w:hAnsiTheme="majorHAnsi" w:cs="Arial"/>
          <w:b/>
        </w:rPr>
      </w:pPr>
      <w:r w:rsidRPr="005645E8">
        <w:rPr>
          <w:rFonts w:asciiTheme="majorHAnsi" w:hAnsiTheme="majorHAnsi"/>
          <w:sz w:val="18"/>
          <w:szCs w:val="18"/>
        </w:rPr>
        <w:t>**: El valor del metro cubico de madera se obtiene de datos suministrados por Ingenieros Forestales (Comercial $29.990/m3 y Leña, Varas de cultivo y Artesanías $10.190/m3), 2013. Actualizado con el IPC a diciembre de 2015.</w:t>
      </w:r>
      <w:r w:rsidRPr="005645E8">
        <w:rPr>
          <w:rFonts w:asciiTheme="majorHAnsi" w:hAnsiTheme="majorHAnsi" w:cs="Arial"/>
          <w:b/>
        </w:rPr>
        <w:t xml:space="preserve"> </w:t>
      </w:r>
      <w:r w:rsidRPr="005645E8">
        <w:rPr>
          <w:rFonts w:asciiTheme="majorHAnsi" w:hAnsiTheme="majorHAnsi" w:cs="Arial"/>
          <w:b/>
        </w:rPr>
        <w:tab/>
      </w:r>
      <w:r w:rsidRPr="005645E8">
        <w:rPr>
          <w:rFonts w:asciiTheme="majorHAnsi" w:hAnsiTheme="majorHAnsi" w:cs="Arial"/>
          <w:b/>
        </w:rPr>
        <w:tab/>
      </w:r>
      <w:r w:rsidRPr="005645E8">
        <w:rPr>
          <w:rFonts w:asciiTheme="majorHAnsi" w:hAnsiTheme="majorHAnsi" w:cs="Arial"/>
          <w:b/>
        </w:rPr>
        <w:tab/>
      </w:r>
      <w:r w:rsidRPr="005645E8">
        <w:rPr>
          <w:rFonts w:asciiTheme="majorHAnsi" w:hAnsiTheme="majorHAnsi" w:cs="Arial"/>
          <w:b/>
        </w:rPr>
        <w:tab/>
      </w:r>
      <w:r w:rsidRPr="005645E8">
        <w:rPr>
          <w:rFonts w:asciiTheme="majorHAnsi" w:hAnsiTheme="majorHAnsi" w:cs="Arial"/>
          <w:b/>
        </w:rPr>
        <w:tab/>
      </w:r>
      <w:r w:rsidRPr="005645E8">
        <w:rPr>
          <w:rFonts w:asciiTheme="majorHAnsi" w:hAnsiTheme="majorHAnsi" w:cs="Arial"/>
          <w:b/>
        </w:rPr>
        <w:tab/>
      </w:r>
      <w:r w:rsidRPr="005645E8">
        <w:rPr>
          <w:rFonts w:asciiTheme="majorHAnsi" w:hAnsiTheme="majorHAnsi" w:cs="Arial"/>
          <w:b/>
        </w:rPr>
        <w:tab/>
      </w:r>
    </w:p>
    <w:p w:rsidR="00AA0A2C" w:rsidRPr="00AA0A2C" w:rsidRDefault="00AA0A2C" w:rsidP="00AA0A2C">
      <w:pPr>
        <w:rPr>
          <w:rFonts w:asciiTheme="majorHAnsi" w:hAnsiTheme="majorHAnsi"/>
        </w:rPr>
      </w:pPr>
    </w:p>
    <w:p w:rsidR="00AA0A2C" w:rsidRPr="00AA0A2C" w:rsidRDefault="00D44B72" w:rsidP="00D44B72">
      <w:pPr>
        <w:pStyle w:val="Ttulo4"/>
      </w:pPr>
      <w:bookmarkStart w:id="97" w:name="_Toc357176553"/>
      <w:r w:rsidRPr="00AA0A2C">
        <w:t>Medio Socioeconómico</w:t>
      </w:r>
      <w:bookmarkEnd w:id="97"/>
    </w:p>
    <w:p w:rsidR="00AA0A2C" w:rsidRPr="00AA0A2C" w:rsidRDefault="00AA0A2C" w:rsidP="00AA0A2C">
      <w:pPr>
        <w:rPr>
          <w:rFonts w:asciiTheme="majorHAnsi" w:hAnsiTheme="majorHAnsi"/>
          <w:b/>
        </w:rPr>
      </w:pPr>
      <w:bookmarkStart w:id="98" w:name="_Toc357176554"/>
    </w:p>
    <w:p w:rsidR="00AA0A2C" w:rsidRPr="00D44B72" w:rsidRDefault="00D44B72" w:rsidP="003253C5">
      <w:pPr>
        <w:pStyle w:val="Ttulo5"/>
        <w:rPr>
          <w:rFonts w:asciiTheme="majorHAnsi" w:hAnsiTheme="majorHAnsi"/>
          <w:b/>
        </w:rPr>
      </w:pPr>
      <w:r w:rsidRPr="00186175">
        <w:t xml:space="preserve">Valoración de impactos sobre el </w:t>
      </w:r>
      <w:r w:rsidR="00AA0A2C" w:rsidRPr="00D44B72">
        <w:t>Componente: Dimensión Económica</w:t>
      </w:r>
      <w:bookmarkEnd w:id="98"/>
    </w:p>
    <w:p w:rsidR="00AA0A2C" w:rsidRPr="00AA0A2C" w:rsidRDefault="00AA0A2C" w:rsidP="00AA0A2C">
      <w:pPr>
        <w:rPr>
          <w:rFonts w:asciiTheme="majorHAnsi" w:hAnsiTheme="majorHAnsi" w:cs="Arial"/>
          <w:b/>
        </w:rPr>
      </w:pPr>
    </w:p>
    <w:p w:rsidR="00AA0A2C" w:rsidRPr="00AA0A2C" w:rsidRDefault="00AA0A2C" w:rsidP="00AA0A2C">
      <w:pPr>
        <w:rPr>
          <w:rFonts w:asciiTheme="majorHAnsi" w:hAnsiTheme="majorHAnsi" w:cs="Arial"/>
          <w:b/>
        </w:rPr>
      </w:pPr>
      <w:r w:rsidRPr="00AA0A2C">
        <w:rPr>
          <w:rFonts w:asciiTheme="majorHAnsi" w:hAnsiTheme="majorHAnsi" w:cs="Arial"/>
          <w:b/>
        </w:rPr>
        <w:t>Cambio económico por modificación en el uso del suelo</w:t>
      </w:r>
    </w:p>
    <w:p w:rsidR="00AA0A2C" w:rsidRPr="00AA0A2C" w:rsidRDefault="00AA0A2C" w:rsidP="00AA0A2C">
      <w:pPr>
        <w:rPr>
          <w:rFonts w:asciiTheme="majorHAnsi" w:hAnsiTheme="majorHAnsi" w:cs="Arial"/>
          <w:b/>
        </w:rPr>
      </w:pPr>
    </w:p>
    <w:p w:rsidR="00AA0A2C" w:rsidRPr="00AA0A2C" w:rsidRDefault="00AA0A2C" w:rsidP="00AA0A2C">
      <w:pPr>
        <w:rPr>
          <w:rFonts w:asciiTheme="majorHAnsi" w:hAnsiTheme="majorHAnsi" w:cs="Arial"/>
          <w:lang w:val="es-ES_tradnl"/>
        </w:rPr>
      </w:pPr>
      <w:r w:rsidRPr="00AA0A2C">
        <w:rPr>
          <w:rFonts w:asciiTheme="majorHAnsi" w:hAnsiTheme="majorHAnsi" w:cs="Arial"/>
          <w:lang w:val="es-ES_tradnl"/>
        </w:rPr>
        <w:t xml:space="preserve">La Valoración de este impacto se enfoca a determinar la disminución en la demanda de mano de obra en el sector pecuario y agrícola por cambio de uso del suelo por la construcción del derecho de vía. </w:t>
      </w:r>
    </w:p>
    <w:p w:rsidR="00AA0A2C" w:rsidRPr="00AA0A2C" w:rsidRDefault="00AA0A2C" w:rsidP="00AA0A2C">
      <w:pPr>
        <w:rPr>
          <w:rFonts w:asciiTheme="majorHAnsi" w:hAnsiTheme="majorHAnsi" w:cs="Arial"/>
          <w:lang w:val="es-ES_tradnl"/>
        </w:rPr>
      </w:pPr>
    </w:p>
    <w:p w:rsidR="00AA0A2C" w:rsidRPr="00AA0A2C" w:rsidRDefault="00AA0A2C" w:rsidP="00AA0A2C">
      <w:pPr>
        <w:rPr>
          <w:rFonts w:asciiTheme="majorHAnsi" w:hAnsiTheme="majorHAnsi" w:cs="Arial"/>
          <w:bCs/>
        </w:rPr>
      </w:pPr>
      <w:r w:rsidRPr="00AA0A2C">
        <w:rPr>
          <w:rFonts w:asciiTheme="majorHAnsi" w:hAnsiTheme="majorHAnsi" w:cs="Arial"/>
          <w:bCs/>
        </w:rPr>
        <w:t xml:space="preserve">Con base en la información recolectada por el equipo social de la consultoría se obtuvo el valor económico de los ingresos por empleo en el sector agropecuario que se dejarán de percibir a raíz de la ejecución del proyecto. Ese valor monetario constituye un costo ambiental para los habitantes de la zona afectados en su actividad económica. </w:t>
      </w:r>
    </w:p>
    <w:p w:rsidR="00AA0A2C" w:rsidRDefault="00AA0A2C" w:rsidP="00AA0A2C">
      <w:pPr>
        <w:rPr>
          <w:rFonts w:asciiTheme="majorHAnsi" w:hAnsiTheme="majorHAnsi" w:cs="Arial"/>
          <w:bCs/>
        </w:rPr>
      </w:pPr>
    </w:p>
    <w:p w:rsidR="00D44B72" w:rsidRDefault="00D44B72" w:rsidP="00D44B72">
      <w:pPr>
        <w:pStyle w:val="Tablas"/>
        <w:rPr>
          <w:rFonts w:asciiTheme="majorHAnsi" w:hAnsiTheme="majorHAnsi"/>
        </w:rPr>
      </w:pPr>
      <w:r>
        <w:t xml:space="preserve">Tabla </w:t>
      </w:r>
      <w:r w:rsidR="006D0D6E">
        <w:fldChar w:fldCharType="begin"/>
      </w:r>
      <w:r w:rsidR="006D0D6E">
        <w:instrText xml:space="preserve"> STYLEREF 1 \s </w:instrText>
      </w:r>
      <w:r w:rsidR="006D0D6E">
        <w:fldChar w:fldCharType="separate"/>
      </w:r>
      <w:r w:rsidR="006D0D6E">
        <w:rPr>
          <w:noProof/>
        </w:rPr>
        <w:t>10</w:t>
      </w:r>
      <w:r w:rsidR="006D0D6E">
        <w:fldChar w:fldCharType="end"/>
      </w:r>
      <w:r w:rsidR="006D0D6E">
        <w:t>.</w:t>
      </w:r>
      <w:r w:rsidR="006D0D6E">
        <w:fldChar w:fldCharType="begin"/>
      </w:r>
      <w:r w:rsidR="006D0D6E">
        <w:instrText xml:space="preserve"> SEQ Tabla \* ARABIC \s 1 </w:instrText>
      </w:r>
      <w:r w:rsidR="006D0D6E">
        <w:fldChar w:fldCharType="separate"/>
      </w:r>
      <w:r w:rsidR="006D0D6E">
        <w:rPr>
          <w:noProof/>
        </w:rPr>
        <w:t>16</w:t>
      </w:r>
      <w:r w:rsidR="006D0D6E">
        <w:fldChar w:fldCharType="end"/>
      </w:r>
      <w:r>
        <w:t xml:space="preserve"> </w:t>
      </w:r>
      <w:r w:rsidRPr="00AA0A2C">
        <w:rPr>
          <w:rFonts w:asciiTheme="majorHAnsi" w:hAnsiTheme="majorHAnsi"/>
        </w:rPr>
        <w:t>Afectación al empleo e ingreso pecuario</w:t>
      </w:r>
    </w:p>
    <w:tbl>
      <w:tblPr>
        <w:tblStyle w:val="Gminis"/>
        <w:tblW w:w="5000" w:type="pct"/>
        <w:tblLook w:val="04A0" w:firstRow="1" w:lastRow="0" w:firstColumn="1" w:lastColumn="0" w:noHBand="0" w:noVBand="1"/>
      </w:tblPr>
      <w:tblGrid>
        <w:gridCol w:w="1478"/>
        <w:gridCol w:w="1088"/>
        <w:gridCol w:w="1369"/>
        <w:gridCol w:w="933"/>
        <w:gridCol w:w="1223"/>
        <w:gridCol w:w="874"/>
        <w:gridCol w:w="1296"/>
      </w:tblGrid>
      <w:tr w:rsidR="00D44B72" w:rsidRPr="00D44B72" w:rsidTr="00A243FB">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gridSpan w:val="7"/>
            <w:tcBorders>
              <w:top w:val="none" w:sz="0" w:space="0" w:color="auto"/>
              <w:left w:val="none" w:sz="0" w:space="0" w:color="auto"/>
              <w:bottom w:val="none" w:sz="0" w:space="0" w:color="auto"/>
              <w:right w:val="none" w:sz="0" w:space="0" w:color="auto"/>
            </w:tcBorders>
            <w:noWrap/>
            <w:vAlign w:val="center"/>
            <w:hideMark/>
          </w:tcPr>
          <w:p w:rsidR="00D44B72" w:rsidRPr="00D44B72" w:rsidRDefault="00D44B72" w:rsidP="00A243FB">
            <w:pPr>
              <w:spacing w:line="240" w:lineRule="auto"/>
              <w:contextualSpacing w:val="0"/>
              <w:jc w:val="center"/>
              <w:rPr>
                <w:rFonts w:eastAsia="Times New Roman"/>
                <w:bCs/>
                <w:color w:val="000000"/>
                <w:sz w:val="18"/>
                <w:szCs w:val="18"/>
                <w:lang w:eastAsia="es-CO"/>
              </w:rPr>
            </w:pPr>
            <w:r w:rsidRPr="00D44B72">
              <w:rPr>
                <w:rFonts w:eastAsia="Times New Roman"/>
                <w:bCs/>
                <w:color w:val="000000"/>
                <w:sz w:val="18"/>
                <w:szCs w:val="18"/>
                <w:lang w:eastAsia="es-CO"/>
              </w:rPr>
              <w:t>AFECTACIÓN AL EMPLEO E INGRESO PECUARIO</w:t>
            </w:r>
          </w:p>
        </w:tc>
      </w:tr>
      <w:tr w:rsidR="00D44B72" w:rsidRPr="00D44B72" w:rsidTr="00A243FB">
        <w:trPr>
          <w:trHeight w:val="20"/>
        </w:trPr>
        <w:tc>
          <w:tcPr>
            <w:cnfStyle w:val="001000000000" w:firstRow="0" w:lastRow="0" w:firstColumn="1" w:lastColumn="0" w:oddVBand="0" w:evenVBand="0" w:oddHBand="0" w:evenHBand="0" w:firstRowFirstColumn="0" w:firstRowLastColumn="0" w:lastRowFirstColumn="0" w:lastRowLastColumn="0"/>
            <w:tcW w:w="889" w:type="pct"/>
            <w:tcBorders>
              <w:left w:val="none" w:sz="0" w:space="0" w:color="auto"/>
            </w:tcBorders>
            <w:vAlign w:val="center"/>
            <w:hideMark/>
          </w:tcPr>
          <w:p w:rsidR="00D44B72" w:rsidRPr="00D44B72" w:rsidRDefault="00D44B72" w:rsidP="00A243FB">
            <w:pPr>
              <w:spacing w:line="240" w:lineRule="auto"/>
              <w:contextualSpacing w:val="0"/>
              <w:jc w:val="center"/>
              <w:rPr>
                <w:rFonts w:eastAsia="Times New Roman"/>
                <w:b/>
                <w:bCs/>
                <w:color w:val="000000"/>
                <w:sz w:val="18"/>
                <w:szCs w:val="18"/>
                <w:lang w:eastAsia="es-CO"/>
              </w:rPr>
            </w:pPr>
            <w:r w:rsidRPr="00D44B72">
              <w:rPr>
                <w:rFonts w:eastAsia="Times New Roman"/>
                <w:b/>
                <w:bCs/>
                <w:color w:val="000000"/>
                <w:sz w:val="18"/>
                <w:szCs w:val="18"/>
                <w:lang w:eastAsia="es-CO"/>
              </w:rPr>
              <w:t>Tipo de Ganadería</w:t>
            </w:r>
          </w:p>
        </w:tc>
        <w:tc>
          <w:tcPr>
            <w:tcW w:w="660" w:type="pct"/>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es-CO"/>
              </w:rPr>
            </w:pPr>
            <w:r w:rsidRPr="00D44B72">
              <w:rPr>
                <w:rFonts w:eastAsia="Times New Roman"/>
                <w:b/>
                <w:bCs/>
                <w:sz w:val="18"/>
                <w:szCs w:val="18"/>
                <w:lang w:eastAsia="es-CO"/>
              </w:rPr>
              <w:t>Número de animales*</w:t>
            </w:r>
          </w:p>
        </w:tc>
        <w:tc>
          <w:tcPr>
            <w:tcW w:w="830" w:type="pct"/>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es-CO"/>
              </w:rPr>
            </w:pPr>
            <w:r w:rsidRPr="00D44B72">
              <w:rPr>
                <w:rFonts w:eastAsia="Times New Roman"/>
                <w:b/>
                <w:bCs/>
                <w:sz w:val="18"/>
                <w:szCs w:val="18"/>
                <w:lang w:eastAsia="es-CO"/>
              </w:rPr>
              <w:t>Número de trabajadores por cada 100 animales **</w:t>
            </w:r>
          </w:p>
        </w:tc>
        <w:tc>
          <w:tcPr>
            <w:tcW w:w="566" w:type="pct"/>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es-CO"/>
              </w:rPr>
            </w:pPr>
            <w:r w:rsidRPr="00D44B72">
              <w:rPr>
                <w:rFonts w:eastAsia="Times New Roman"/>
                <w:b/>
                <w:bCs/>
                <w:sz w:val="18"/>
                <w:szCs w:val="18"/>
                <w:lang w:eastAsia="es-CO"/>
              </w:rPr>
              <w:t>Número de jornales</w:t>
            </w:r>
          </w:p>
        </w:tc>
        <w:tc>
          <w:tcPr>
            <w:tcW w:w="741" w:type="pct"/>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es-CO"/>
              </w:rPr>
            </w:pPr>
            <w:r w:rsidRPr="00D44B72">
              <w:rPr>
                <w:rFonts w:eastAsia="Times New Roman"/>
                <w:b/>
                <w:bCs/>
                <w:sz w:val="18"/>
                <w:szCs w:val="18"/>
                <w:lang w:eastAsia="es-CO"/>
              </w:rPr>
              <w:t>Jornal pecuario***</w:t>
            </w:r>
          </w:p>
        </w:tc>
        <w:tc>
          <w:tcPr>
            <w:tcW w:w="528" w:type="pct"/>
            <w:noWrap/>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D44B72">
              <w:rPr>
                <w:rFonts w:eastAsia="Times New Roman"/>
                <w:b/>
                <w:bCs/>
                <w:color w:val="000000"/>
                <w:sz w:val="18"/>
                <w:szCs w:val="18"/>
                <w:lang w:eastAsia="es-CO"/>
              </w:rPr>
              <w:t>Tiempo</w:t>
            </w:r>
          </w:p>
        </w:tc>
        <w:tc>
          <w:tcPr>
            <w:tcW w:w="785" w:type="pct"/>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es-CO"/>
              </w:rPr>
            </w:pPr>
            <w:r w:rsidRPr="00D44B72">
              <w:rPr>
                <w:rFonts w:eastAsia="Times New Roman"/>
                <w:b/>
                <w:bCs/>
                <w:sz w:val="18"/>
                <w:szCs w:val="18"/>
                <w:lang w:eastAsia="es-CO"/>
              </w:rPr>
              <w:t>Valor total de pesos ($)</w:t>
            </w:r>
          </w:p>
        </w:tc>
      </w:tr>
      <w:tr w:rsidR="00D44B72" w:rsidRPr="00D44B72" w:rsidTr="00A243FB">
        <w:trPr>
          <w:trHeight w:val="20"/>
        </w:trPr>
        <w:tc>
          <w:tcPr>
            <w:cnfStyle w:val="001000000000" w:firstRow="0" w:lastRow="0" w:firstColumn="1" w:lastColumn="0" w:oddVBand="0" w:evenVBand="0" w:oddHBand="0" w:evenHBand="0" w:firstRowFirstColumn="0" w:firstRowLastColumn="0" w:lastRowFirstColumn="0" w:lastRowLastColumn="0"/>
            <w:tcW w:w="889" w:type="pct"/>
            <w:tcBorders>
              <w:left w:val="none" w:sz="0" w:space="0" w:color="auto"/>
            </w:tcBorders>
            <w:noWrap/>
            <w:vAlign w:val="center"/>
            <w:hideMark/>
          </w:tcPr>
          <w:p w:rsidR="00D44B72" w:rsidRPr="00D44B72" w:rsidRDefault="00D44B72" w:rsidP="00A243FB">
            <w:pPr>
              <w:spacing w:line="240" w:lineRule="auto"/>
              <w:contextualSpacing w:val="0"/>
              <w:jc w:val="center"/>
              <w:rPr>
                <w:rFonts w:eastAsia="Times New Roman"/>
                <w:color w:val="000000"/>
                <w:sz w:val="18"/>
                <w:szCs w:val="18"/>
                <w:lang w:eastAsia="es-CO"/>
              </w:rPr>
            </w:pPr>
            <w:r w:rsidRPr="00D44B72">
              <w:rPr>
                <w:rFonts w:eastAsia="Times New Roman"/>
                <w:color w:val="000000"/>
                <w:sz w:val="18"/>
                <w:szCs w:val="18"/>
                <w:lang w:eastAsia="es-CO"/>
              </w:rPr>
              <w:t>Leche</w:t>
            </w:r>
          </w:p>
        </w:tc>
        <w:tc>
          <w:tcPr>
            <w:tcW w:w="660" w:type="pct"/>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44B72">
              <w:rPr>
                <w:rFonts w:eastAsia="Times New Roman"/>
                <w:color w:val="000000"/>
                <w:sz w:val="18"/>
                <w:szCs w:val="18"/>
                <w:lang w:eastAsia="es-CO"/>
              </w:rPr>
              <w:t>101</w:t>
            </w:r>
          </w:p>
        </w:tc>
        <w:tc>
          <w:tcPr>
            <w:tcW w:w="830" w:type="pct"/>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D44B72">
              <w:rPr>
                <w:rFonts w:eastAsia="Times New Roman"/>
                <w:sz w:val="18"/>
                <w:szCs w:val="18"/>
                <w:lang w:eastAsia="es-CO"/>
              </w:rPr>
              <w:t>7,9</w:t>
            </w:r>
          </w:p>
        </w:tc>
        <w:tc>
          <w:tcPr>
            <w:tcW w:w="566" w:type="pct"/>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44B72">
              <w:rPr>
                <w:rFonts w:eastAsia="Times New Roman"/>
                <w:color w:val="000000"/>
                <w:sz w:val="18"/>
                <w:szCs w:val="18"/>
                <w:lang w:eastAsia="es-CO"/>
              </w:rPr>
              <w:t>8</w:t>
            </w:r>
          </w:p>
        </w:tc>
        <w:tc>
          <w:tcPr>
            <w:tcW w:w="741" w:type="pct"/>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D44B72">
              <w:rPr>
                <w:rFonts w:eastAsia="Times New Roman"/>
                <w:sz w:val="18"/>
                <w:szCs w:val="18"/>
                <w:lang w:eastAsia="es-CO"/>
              </w:rPr>
              <w:t>20.500</w:t>
            </w:r>
          </w:p>
        </w:tc>
        <w:tc>
          <w:tcPr>
            <w:tcW w:w="528" w:type="pct"/>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D44B72">
              <w:rPr>
                <w:rFonts w:eastAsia="Times New Roman"/>
                <w:sz w:val="18"/>
                <w:szCs w:val="18"/>
                <w:lang w:eastAsia="es-CO"/>
              </w:rPr>
              <w:t>1.008</w:t>
            </w:r>
          </w:p>
        </w:tc>
        <w:tc>
          <w:tcPr>
            <w:tcW w:w="785" w:type="pct"/>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44B72">
              <w:rPr>
                <w:rFonts w:eastAsia="Times New Roman"/>
                <w:color w:val="000000"/>
                <w:sz w:val="18"/>
                <w:szCs w:val="18"/>
                <w:lang w:eastAsia="es-CO"/>
              </w:rPr>
              <w:t>164.414.438</w:t>
            </w:r>
          </w:p>
        </w:tc>
      </w:tr>
      <w:tr w:rsidR="00D44B72" w:rsidRPr="00D44B72" w:rsidTr="00A243FB">
        <w:trPr>
          <w:trHeight w:val="20"/>
        </w:trPr>
        <w:tc>
          <w:tcPr>
            <w:cnfStyle w:val="001000000000" w:firstRow="0" w:lastRow="0" w:firstColumn="1" w:lastColumn="0" w:oddVBand="0" w:evenVBand="0" w:oddHBand="0" w:evenHBand="0" w:firstRowFirstColumn="0" w:firstRowLastColumn="0" w:lastRowFirstColumn="0" w:lastRowLastColumn="0"/>
            <w:tcW w:w="889" w:type="pct"/>
            <w:tcBorders>
              <w:left w:val="none" w:sz="0" w:space="0" w:color="auto"/>
            </w:tcBorders>
            <w:noWrap/>
            <w:vAlign w:val="center"/>
            <w:hideMark/>
          </w:tcPr>
          <w:p w:rsidR="00D44B72" w:rsidRPr="00D44B72" w:rsidRDefault="00D44B72" w:rsidP="00A243FB">
            <w:pPr>
              <w:spacing w:line="240" w:lineRule="auto"/>
              <w:contextualSpacing w:val="0"/>
              <w:jc w:val="center"/>
              <w:rPr>
                <w:rFonts w:eastAsia="Times New Roman"/>
                <w:color w:val="000000"/>
                <w:sz w:val="18"/>
                <w:szCs w:val="18"/>
                <w:lang w:eastAsia="es-CO"/>
              </w:rPr>
            </w:pPr>
            <w:r w:rsidRPr="00D44B72">
              <w:rPr>
                <w:rFonts w:eastAsia="Times New Roman"/>
                <w:color w:val="000000"/>
                <w:sz w:val="18"/>
                <w:szCs w:val="18"/>
                <w:lang w:eastAsia="es-CO"/>
              </w:rPr>
              <w:t>Cría</w:t>
            </w:r>
          </w:p>
        </w:tc>
        <w:tc>
          <w:tcPr>
            <w:tcW w:w="660" w:type="pct"/>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44B72">
              <w:rPr>
                <w:rFonts w:eastAsia="Times New Roman"/>
                <w:color w:val="000000"/>
                <w:sz w:val="18"/>
                <w:szCs w:val="18"/>
                <w:lang w:eastAsia="es-CO"/>
              </w:rPr>
              <w:t>37</w:t>
            </w:r>
          </w:p>
        </w:tc>
        <w:tc>
          <w:tcPr>
            <w:tcW w:w="830" w:type="pct"/>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D44B72">
              <w:rPr>
                <w:rFonts w:eastAsia="Times New Roman"/>
                <w:sz w:val="18"/>
                <w:szCs w:val="18"/>
                <w:lang w:eastAsia="es-CO"/>
              </w:rPr>
              <w:t>2,5</w:t>
            </w:r>
          </w:p>
        </w:tc>
        <w:tc>
          <w:tcPr>
            <w:tcW w:w="566" w:type="pct"/>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44B72">
              <w:rPr>
                <w:rFonts w:eastAsia="Times New Roman"/>
                <w:color w:val="000000"/>
                <w:sz w:val="18"/>
                <w:szCs w:val="18"/>
                <w:lang w:eastAsia="es-CO"/>
              </w:rPr>
              <w:t>1</w:t>
            </w:r>
          </w:p>
        </w:tc>
        <w:tc>
          <w:tcPr>
            <w:tcW w:w="741" w:type="pct"/>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D44B72">
              <w:rPr>
                <w:rFonts w:eastAsia="Times New Roman"/>
                <w:sz w:val="18"/>
                <w:szCs w:val="18"/>
                <w:lang w:eastAsia="es-CO"/>
              </w:rPr>
              <w:t>20.500</w:t>
            </w:r>
          </w:p>
        </w:tc>
        <w:tc>
          <w:tcPr>
            <w:tcW w:w="528" w:type="pct"/>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D44B72">
              <w:rPr>
                <w:rFonts w:eastAsia="Times New Roman"/>
                <w:sz w:val="18"/>
                <w:szCs w:val="18"/>
                <w:lang w:eastAsia="es-CO"/>
              </w:rPr>
              <w:t>1.008</w:t>
            </w:r>
          </w:p>
        </w:tc>
        <w:tc>
          <w:tcPr>
            <w:tcW w:w="785" w:type="pct"/>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44B72">
              <w:rPr>
                <w:rFonts w:eastAsia="Times New Roman"/>
                <w:color w:val="000000"/>
                <w:sz w:val="18"/>
                <w:szCs w:val="18"/>
                <w:lang w:eastAsia="es-CO"/>
              </w:rPr>
              <w:t>18.919.958</w:t>
            </w:r>
          </w:p>
        </w:tc>
      </w:tr>
      <w:tr w:rsidR="00D44B72" w:rsidRPr="00D44B72" w:rsidTr="00A243FB">
        <w:trPr>
          <w:trHeight w:val="20"/>
        </w:trPr>
        <w:tc>
          <w:tcPr>
            <w:cnfStyle w:val="001000000000" w:firstRow="0" w:lastRow="0" w:firstColumn="1" w:lastColumn="0" w:oddVBand="0" w:evenVBand="0" w:oddHBand="0" w:evenHBand="0" w:firstRowFirstColumn="0" w:firstRowLastColumn="0" w:lastRowFirstColumn="0" w:lastRowLastColumn="0"/>
            <w:tcW w:w="889" w:type="pct"/>
            <w:tcBorders>
              <w:left w:val="none" w:sz="0" w:space="0" w:color="auto"/>
            </w:tcBorders>
            <w:noWrap/>
            <w:vAlign w:val="center"/>
            <w:hideMark/>
          </w:tcPr>
          <w:p w:rsidR="00D44B72" w:rsidRPr="00D44B72" w:rsidRDefault="00D44B72" w:rsidP="00A243FB">
            <w:pPr>
              <w:spacing w:line="240" w:lineRule="auto"/>
              <w:contextualSpacing w:val="0"/>
              <w:jc w:val="center"/>
              <w:rPr>
                <w:rFonts w:eastAsia="Times New Roman"/>
                <w:color w:val="000000"/>
                <w:sz w:val="18"/>
                <w:szCs w:val="18"/>
                <w:lang w:eastAsia="es-CO"/>
              </w:rPr>
            </w:pPr>
            <w:r w:rsidRPr="00D44B72">
              <w:rPr>
                <w:rFonts w:eastAsia="Times New Roman"/>
                <w:color w:val="000000"/>
                <w:sz w:val="18"/>
                <w:szCs w:val="18"/>
                <w:lang w:eastAsia="es-CO"/>
              </w:rPr>
              <w:t>Doble Propósito</w:t>
            </w:r>
          </w:p>
        </w:tc>
        <w:tc>
          <w:tcPr>
            <w:tcW w:w="660" w:type="pct"/>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44B72">
              <w:rPr>
                <w:rFonts w:eastAsia="Times New Roman"/>
                <w:color w:val="000000"/>
                <w:sz w:val="18"/>
                <w:szCs w:val="18"/>
                <w:lang w:eastAsia="es-CO"/>
              </w:rPr>
              <w:t>60</w:t>
            </w:r>
          </w:p>
        </w:tc>
        <w:tc>
          <w:tcPr>
            <w:tcW w:w="830" w:type="pct"/>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D44B72">
              <w:rPr>
                <w:rFonts w:eastAsia="Times New Roman"/>
                <w:sz w:val="18"/>
                <w:szCs w:val="18"/>
                <w:lang w:eastAsia="es-CO"/>
              </w:rPr>
              <w:t>5,5</w:t>
            </w:r>
          </w:p>
        </w:tc>
        <w:tc>
          <w:tcPr>
            <w:tcW w:w="566" w:type="pct"/>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44B72">
              <w:rPr>
                <w:rFonts w:eastAsia="Times New Roman"/>
                <w:color w:val="000000"/>
                <w:sz w:val="18"/>
                <w:szCs w:val="18"/>
                <w:lang w:eastAsia="es-CO"/>
              </w:rPr>
              <w:t>3</w:t>
            </w:r>
          </w:p>
        </w:tc>
        <w:tc>
          <w:tcPr>
            <w:tcW w:w="741" w:type="pct"/>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D44B72">
              <w:rPr>
                <w:rFonts w:eastAsia="Times New Roman"/>
                <w:sz w:val="18"/>
                <w:szCs w:val="18"/>
                <w:lang w:eastAsia="es-CO"/>
              </w:rPr>
              <w:t>20.500</w:t>
            </w:r>
          </w:p>
        </w:tc>
        <w:tc>
          <w:tcPr>
            <w:tcW w:w="528" w:type="pct"/>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D44B72">
              <w:rPr>
                <w:rFonts w:eastAsia="Times New Roman"/>
                <w:sz w:val="18"/>
                <w:szCs w:val="18"/>
                <w:lang w:eastAsia="es-CO"/>
              </w:rPr>
              <w:t>1.008</w:t>
            </w:r>
          </w:p>
        </w:tc>
        <w:tc>
          <w:tcPr>
            <w:tcW w:w="785" w:type="pct"/>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44B72">
              <w:rPr>
                <w:rFonts w:eastAsia="Times New Roman"/>
                <w:color w:val="000000"/>
                <w:sz w:val="18"/>
                <w:szCs w:val="18"/>
                <w:lang w:eastAsia="es-CO"/>
              </w:rPr>
              <w:t>67.638.851</w:t>
            </w:r>
          </w:p>
        </w:tc>
      </w:tr>
      <w:tr w:rsidR="00D44B72" w:rsidRPr="00D44B72" w:rsidTr="00A243FB">
        <w:trPr>
          <w:trHeight w:val="20"/>
        </w:trPr>
        <w:tc>
          <w:tcPr>
            <w:cnfStyle w:val="001000000000" w:firstRow="0" w:lastRow="0" w:firstColumn="1" w:lastColumn="0" w:oddVBand="0" w:evenVBand="0" w:oddHBand="0" w:evenHBand="0" w:firstRowFirstColumn="0" w:firstRowLastColumn="0" w:lastRowFirstColumn="0" w:lastRowLastColumn="0"/>
            <w:tcW w:w="889" w:type="pct"/>
            <w:tcBorders>
              <w:left w:val="none" w:sz="0" w:space="0" w:color="auto"/>
            </w:tcBorders>
            <w:noWrap/>
            <w:vAlign w:val="center"/>
            <w:hideMark/>
          </w:tcPr>
          <w:p w:rsidR="00D44B72" w:rsidRPr="00D44B72" w:rsidRDefault="00D44B72" w:rsidP="00A243FB">
            <w:pPr>
              <w:spacing w:line="240" w:lineRule="auto"/>
              <w:contextualSpacing w:val="0"/>
              <w:jc w:val="center"/>
              <w:rPr>
                <w:rFonts w:eastAsia="Times New Roman"/>
                <w:color w:val="000000"/>
                <w:sz w:val="18"/>
                <w:szCs w:val="18"/>
                <w:lang w:eastAsia="es-CO"/>
              </w:rPr>
            </w:pPr>
            <w:r w:rsidRPr="00D44B72">
              <w:rPr>
                <w:rFonts w:eastAsia="Times New Roman"/>
                <w:color w:val="000000"/>
                <w:sz w:val="18"/>
                <w:szCs w:val="18"/>
                <w:lang w:eastAsia="es-CO"/>
              </w:rPr>
              <w:t>Ceba</w:t>
            </w:r>
          </w:p>
        </w:tc>
        <w:tc>
          <w:tcPr>
            <w:tcW w:w="660" w:type="pct"/>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44B72">
              <w:rPr>
                <w:rFonts w:eastAsia="Times New Roman"/>
                <w:color w:val="000000"/>
                <w:sz w:val="18"/>
                <w:szCs w:val="18"/>
                <w:lang w:eastAsia="es-CO"/>
              </w:rPr>
              <w:t>78</w:t>
            </w:r>
          </w:p>
        </w:tc>
        <w:tc>
          <w:tcPr>
            <w:tcW w:w="830" w:type="pct"/>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D44B72">
              <w:rPr>
                <w:rFonts w:eastAsia="Times New Roman"/>
                <w:sz w:val="18"/>
                <w:szCs w:val="18"/>
                <w:lang w:eastAsia="es-CO"/>
              </w:rPr>
              <w:t>2,4</w:t>
            </w:r>
          </w:p>
        </w:tc>
        <w:tc>
          <w:tcPr>
            <w:tcW w:w="566" w:type="pct"/>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44B72">
              <w:rPr>
                <w:rFonts w:eastAsia="Times New Roman"/>
                <w:color w:val="000000"/>
                <w:sz w:val="18"/>
                <w:szCs w:val="18"/>
                <w:lang w:eastAsia="es-CO"/>
              </w:rPr>
              <w:t>2</w:t>
            </w:r>
          </w:p>
        </w:tc>
        <w:tc>
          <w:tcPr>
            <w:tcW w:w="741" w:type="pct"/>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D44B72">
              <w:rPr>
                <w:rFonts w:eastAsia="Times New Roman"/>
                <w:sz w:val="18"/>
                <w:szCs w:val="18"/>
                <w:lang w:eastAsia="es-CO"/>
              </w:rPr>
              <w:t>20.500</w:t>
            </w:r>
          </w:p>
        </w:tc>
        <w:tc>
          <w:tcPr>
            <w:tcW w:w="528" w:type="pct"/>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D44B72">
              <w:rPr>
                <w:rFonts w:eastAsia="Times New Roman"/>
                <w:sz w:val="18"/>
                <w:szCs w:val="18"/>
                <w:lang w:eastAsia="es-CO"/>
              </w:rPr>
              <w:t>1.008</w:t>
            </w:r>
          </w:p>
        </w:tc>
        <w:tc>
          <w:tcPr>
            <w:tcW w:w="785" w:type="pct"/>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44B72">
              <w:rPr>
                <w:rFonts w:eastAsia="Times New Roman"/>
                <w:color w:val="000000"/>
                <w:sz w:val="18"/>
                <w:szCs w:val="18"/>
                <w:lang w:eastAsia="es-CO"/>
              </w:rPr>
              <w:t>38.596.715</w:t>
            </w:r>
          </w:p>
        </w:tc>
      </w:tr>
      <w:tr w:rsidR="00D44B72" w:rsidRPr="00D44B72" w:rsidTr="00A243FB">
        <w:trPr>
          <w:trHeight w:val="20"/>
        </w:trPr>
        <w:tc>
          <w:tcPr>
            <w:cnfStyle w:val="001000000000" w:firstRow="0" w:lastRow="0" w:firstColumn="1" w:lastColumn="0" w:oddVBand="0" w:evenVBand="0" w:oddHBand="0" w:evenHBand="0" w:firstRowFirstColumn="0" w:firstRowLastColumn="0" w:lastRowFirstColumn="0" w:lastRowLastColumn="0"/>
            <w:tcW w:w="4215" w:type="pct"/>
            <w:gridSpan w:val="6"/>
            <w:tcBorders>
              <w:left w:val="none" w:sz="0" w:space="0" w:color="auto"/>
            </w:tcBorders>
            <w:shd w:val="clear" w:color="auto" w:fill="F2F2F2" w:themeFill="background1" w:themeFillShade="F2"/>
            <w:vAlign w:val="center"/>
            <w:hideMark/>
          </w:tcPr>
          <w:p w:rsidR="00D44B72" w:rsidRPr="00D44B72" w:rsidRDefault="00D44B72" w:rsidP="00A243FB">
            <w:pPr>
              <w:spacing w:line="240" w:lineRule="auto"/>
              <w:contextualSpacing w:val="0"/>
              <w:jc w:val="center"/>
              <w:rPr>
                <w:rFonts w:eastAsia="Times New Roman"/>
                <w:b/>
                <w:bCs/>
                <w:color w:val="000000"/>
                <w:sz w:val="18"/>
                <w:szCs w:val="18"/>
                <w:lang w:eastAsia="es-CO"/>
              </w:rPr>
            </w:pPr>
            <w:r w:rsidRPr="00D44B72">
              <w:rPr>
                <w:rFonts w:eastAsia="Times New Roman"/>
                <w:b/>
                <w:bCs/>
                <w:color w:val="000000"/>
                <w:sz w:val="18"/>
                <w:szCs w:val="18"/>
                <w:lang w:eastAsia="es-CO"/>
              </w:rPr>
              <w:t>Valor total ($)</w:t>
            </w:r>
          </w:p>
        </w:tc>
        <w:tc>
          <w:tcPr>
            <w:tcW w:w="785" w:type="pct"/>
            <w:shd w:val="clear" w:color="auto" w:fill="F2F2F2" w:themeFill="background1" w:themeFillShade="F2"/>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D44B72">
              <w:rPr>
                <w:rFonts w:eastAsia="Times New Roman"/>
                <w:b/>
                <w:bCs/>
                <w:color w:val="000000"/>
                <w:sz w:val="18"/>
                <w:szCs w:val="18"/>
                <w:lang w:eastAsia="es-CO"/>
              </w:rPr>
              <w:t>164.414.438</w:t>
            </w:r>
          </w:p>
        </w:tc>
      </w:tr>
      <w:tr w:rsidR="00D44B72" w:rsidRPr="00D44B72" w:rsidTr="00A243FB">
        <w:trPr>
          <w:trHeight w:val="20"/>
        </w:trPr>
        <w:tc>
          <w:tcPr>
            <w:cnfStyle w:val="001000000000" w:firstRow="0" w:lastRow="0" w:firstColumn="1" w:lastColumn="0" w:oddVBand="0" w:evenVBand="0" w:oddHBand="0" w:evenHBand="0" w:firstRowFirstColumn="0" w:firstRowLastColumn="0" w:lastRowFirstColumn="0" w:lastRowLastColumn="0"/>
            <w:tcW w:w="4215" w:type="pct"/>
            <w:gridSpan w:val="6"/>
            <w:tcBorders>
              <w:left w:val="none" w:sz="0" w:space="0" w:color="auto"/>
            </w:tcBorders>
            <w:noWrap/>
            <w:vAlign w:val="center"/>
            <w:hideMark/>
          </w:tcPr>
          <w:p w:rsidR="00D44B72" w:rsidRPr="00D44B72" w:rsidRDefault="00D44B72" w:rsidP="00A243FB">
            <w:pPr>
              <w:spacing w:line="240" w:lineRule="auto"/>
              <w:contextualSpacing w:val="0"/>
              <w:jc w:val="center"/>
              <w:rPr>
                <w:rFonts w:eastAsia="Times New Roman"/>
                <w:sz w:val="18"/>
                <w:szCs w:val="18"/>
                <w:lang w:eastAsia="es-CO"/>
              </w:rPr>
            </w:pPr>
            <w:r w:rsidRPr="00D44B72">
              <w:rPr>
                <w:rFonts w:eastAsia="Times New Roman"/>
                <w:sz w:val="18"/>
                <w:szCs w:val="18"/>
                <w:lang w:eastAsia="es-CO"/>
              </w:rPr>
              <w:t>Valor Presente Neto ($)</w:t>
            </w:r>
          </w:p>
        </w:tc>
        <w:tc>
          <w:tcPr>
            <w:tcW w:w="785" w:type="pct"/>
            <w:noWrap/>
            <w:vAlign w:val="center"/>
            <w:hideMark/>
          </w:tcPr>
          <w:p w:rsidR="00D44B72" w:rsidRPr="00D44B72" w:rsidRDefault="00D44B72" w:rsidP="00A243F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D44B72">
              <w:rPr>
                <w:rFonts w:eastAsia="Times New Roman"/>
                <w:sz w:val="18"/>
                <w:szCs w:val="18"/>
                <w:lang w:eastAsia="es-CO"/>
              </w:rPr>
              <w:t>146.798.606</w:t>
            </w:r>
          </w:p>
        </w:tc>
      </w:tr>
    </w:tbl>
    <w:p w:rsidR="00D44B72" w:rsidRPr="00AA0A2C" w:rsidRDefault="00A243FB" w:rsidP="00A243FB">
      <w:pPr>
        <w:pStyle w:val="Notas"/>
      </w:pPr>
      <w:r>
        <w:t>Fuente</w:t>
      </w:r>
      <w:r w:rsidR="00D44B72" w:rsidRPr="00AA0A2C">
        <w:t>: Autopista Rio Magdalena S.A.S., 2016.</w:t>
      </w:r>
    </w:p>
    <w:p w:rsidR="00D44B72" w:rsidRPr="00D44B72" w:rsidRDefault="00D44B72" w:rsidP="00D44B72">
      <w:pPr>
        <w:rPr>
          <w:rFonts w:asciiTheme="majorHAnsi" w:hAnsiTheme="majorHAnsi"/>
          <w:sz w:val="18"/>
          <w:szCs w:val="18"/>
        </w:rPr>
      </w:pPr>
      <w:r w:rsidRPr="00D44B72">
        <w:rPr>
          <w:rFonts w:asciiTheme="majorHAnsi" w:hAnsiTheme="majorHAnsi"/>
          <w:sz w:val="18"/>
          <w:szCs w:val="18"/>
        </w:rPr>
        <w:t>*: Calculado en el ítem de afectació</w:t>
      </w:r>
      <w:r>
        <w:rPr>
          <w:rFonts w:asciiTheme="majorHAnsi" w:hAnsiTheme="majorHAnsi"/>
          <w:sz w:val="18"/>
          <w:szCs w:val="18"/>
        </w:rPr>
        <w:t>n ganadera por el proyecto</w:t>
      </w:r>
      <w:r>
        <w:rPr>
          <w:rFonts w:asciiTheme="majorHAnsi" w:hAnsiTheme="majorHAnsi"/>
          <w:sz w:val="18"/>
          <w:szCs w:val="18"/>
        </w:rPr>
        <w:tab/>
      </w:r>
      <w:r>
        <w:rPr>
          <w:rFonts w:asciiTheme="majorHAnsi" w:hAnsiTheme="majorHAnsi"/>
          <w:sz w:val="18"/>
          <w:szCs w:val="18"/>
        </w:rPr>
        <w:tab/>
      </w:r>
      <w:r>
        <w:rPr>
          <w:rFonts w:asciiTheme="majorHAnsi" w:hAnsiTheme="majorHAnsi"/>
          <w:sz w:val="18"/>
          <w:szCs w:val="18"/>
        </w:rPr>
        <w:tab/>
      </w:r>
      <w:r>
        <w:rPr>
          <w:rFonts w:asciiTheme="majorHAnsi" w:hAnsiTheme="majorHAnsi"/>
          <w:sz w:val="18"/>
          <w:szCs w:val="18"/>
        </w:rPr>
        <w:tab/>
      </w:r>
      <w:r>
        <w:rPr>
          <w:rFonts w:asciiTheme="majorHAnsi" w:hAnsiTheme="majorHAnsi"/>
          <w:sz w:val="18"/>
          <w:szCs w:val="18"/>
        </w:rPr>
        <w:tab/>
      </w:r>
    </w:p>
    <w:p w:rsidR="00D44B72" w:rsidRPr="00D44B72" w:rsidRDefault="00D44B72" w:rsidP="00D44B72">
      <w:pPr>
        <w:rPr>
          <w:rFonts w:asciiTheme="majorHAnsi" w:hAnsiTheme="majorHAnsi"/>
          <w:sz w:val="18"/>
          <w:szCs w:val="18"/>
        </w:rPr>
      </w:pPr>
      <w:r w:rsidRPr="00D44B72">
        <w:rPr>
          <w:rFonts w:asciiTheme="majorHAnsi" w:hAnsiTheme="majorHAnsi"/>
          <w:sz w:val="18"/>
          <w:szCs w:val="18"/>
        </w:rPr>
        <w:t>**: Plan estratégico de la Ganadería Colombiana PEGA 2019. FEDEGAN. Leche se emplean 7,9 jornales por cada 100 animales, en cría 2,5 jornales, en Ceba 2,4 y para ganadería Doble Propósito se emplean 5,5 jornales.</w:t>
      </w:r>
    </w:p>
    <w:p w:rsidR="00D44B72" w:rsidRPr="00D44B72" w:rsidRDefault="00D44B72" w:rsidP="00D44B72">
      <w:pPr>
        <w:rPr>
          <w:rFonts w:asciiTheme="majorHAnsi" w:hAnsiTheme="majorHAnsi"/>
          <w:sz w:val="18"/>
          <w:szCs w:val="18"/>
        </w:rPr>
      </w:pPr>
      <w:r w:rsidRPr="00D44B72">
        <w:rPr>
          <w:rFonts w:asciiTheme="majorHAnsi" w:hAnsiTheme="majorHAnsi"/>
          <w:sz w:val="18"/>
          <w:szCs w:val="18"/>
        </w:rPr>
        <w:t>****: El jornal pecuario está en promedio en $20.500 sin alimentación. Dato tomado del documento Direccionamiento Estratégico del Sector Ganadero del caribe colombiano 2011-2016.</w:t>
      </w:r>
      <w:r w:rsidRPr="00D44B72">
        <w:rPr>
          <w:rFonts w:asciiTheme="majorHAnsi" w:hAnsiTheme="majorHAnsi"/>
          <w:sz w:val="18"/>
          <w:szCs w:val="18"/>
        </w:rPr>
        <w:tab/>
      </w:r>
      <w:r w:rsidRPr="00D44B72">
        <w:rPr>
          <w:rFonts w:asciiTheme="majorHAnsi" w:hAnsiTheme="majorHAnsi"/>
          <w:sz w:val="18"/>
          <w:szCs w:val="18"/>
        </w:rPr>
        <w:tab/>
      </w:r>
    </w:p>
    <w:p w:rsidR="00AA0A2C" w:rsidRPr="00AA0A2C" w:rsidRDefault="00D44B72" w:rsidP="00D44B72">
      <w:pPr>
        <w:rPr>
          <w:rFonts w:asciiTheme="majorHAnsi" w:hAnsiTheme="majorHAnsi"/>
          <w:sz w:val="20"/>
          <w:szCs w:val="20"/>
        </w:rPr>
      </w:pPr>
      <w:r w:rsidRPr="00D44B72">
        <w:rPr>
          <w:rFonts w:asciiTheme="majorHAnsi" w:hAnsiTheme="majorHAnsi"/>
          <w:sz w:val="18"/>
          <w:szCs w:val="18"/>
        </w:rPr>
        <w:t>****: El tiempo (días) se extrae del cronograma elaborado de construcción del proyecto. 1.008 días equivalentes a 36 meses.</w:t>
      </w:r>
      <w:r w:rsidRPr="00D44B72">
        <w:rPr>
          <w:rFonts w:asciiTheme="majorHAnsi" w:hAnsiTheme="majorHAnsi"/>
          <w:sz w:val="18"/>
          <w:szCs w:val="18"/>
        </w:rPr>
        <w:tab/>
      </w:r>
      <w:r w:rsidRPr="00D44B72">
        <w:rPr>
          <w:rFonts w:asciiTheme="majorHAnsi" w:hAnsiTheme="majorHAnsi"/>
          <w:sz w:val="20"/>
          <w:szCs w:val="20"/>
        </w:rPr>
        <w:tab/>
      </w:r>
      <w:r w:rsidRPr="00D44B72">
        <w:rPr>
          <w:rFonts w:asciiTheme="majorHAnsi" w:hAnsiTheme="majorHAnsi"/>
          <w:sz w:val="20"/>
          <w:szCs w:val="20"/>
        </w:rPr>
        <w:tab/>
      </w:r>
      <w:r w:rsidRPr="00D44B72">
        <w:rPr>
          <w:rFonts w:asciiTheme="majorHAnsi" w:hAnsiTheme="majorHAnsi"/>
          <w:sz w:val="20"/>
          <w:szCs w:val="20"/>
        </w:rPr>
        <w:tab/>
      </w:r>
      <w:r w:rsidRPr="00D44B72">
        <w:rPr>
          <w:rFonts w:asciiTheme="majorHAnsi" w:hAnsiTheme="majorHAnsi"/>
          <w:sz w:val="20"/>
          <w:szCs w:val="20"/>
        </w:rPr>
        <w:tab/>
      </w:r>
      <w:r w:rsidRPr="00D44B72">
        <w:rPr>
          <w:rFonts w:asciiTheme="majorHAnsi" w:hAnsiTheme="majorHAnsi"/>
          <w:sz w:val="20"/>
          <w:szCs w:val="20"/>
        </w:rPr>
        <w:tab/>
      </w:r>
      <w:r w:rsidR="00AA0A2C" w:rsidRPr="00AA0A2C">
        <w:rPr>
          <w:rFonts w:asciiTheme="majorHAnsi" w:hAnsiTheme="majorHAnsi"/>
          <w:sz w:val="20"/>
          <w:szCs w:val="20"/>
        </w:rPr>
        <w:tab/>
      </w:r>
      <w:r w:rsidR="00AA0A2C" w:rsidRPr="00AA0A2C">
        <w:rPr>
          <w:rFonts w:asciiTheme="majorHAnsi" w:hAnsiTheme="majorHAnsi"/>
          <w:sz w:val="20"/>
          <w:szCs w:val="20"/>
        </w:rPr>
        <w:tab/>
      </w:r>
      <w:r w:rsidR="00AA0A2C" w:rsidRPr="00AA0A2C">
        <w:rPr>
          <w:rFonts w:asciiTheme="majorHAnsi" w:hAnsiTheme="majorHAnsi"/>
          <w:sz w:val="20"/>
          <w:szCs w:val="20"/>
        </w:rPr>
        <w:tab/>
      </w:r>
      <w:r w:rsidR="00AA0A2C" w:rsidRPr="00AA0A2C">
        <w:rPr>
          <w:rFonts w:asciiTheme="majorHAnsi" w:hAnsiTheme="majorHAnsi"/>
          <w:sz w:val="20"/>
          <w:szCs w:val="20"/>
        </w:rPr>
        <w:tab/>
      </w:r>
      <w:r w:rsidR="00AA0A2C" w:rsidRPr="00AA0A2C">
        <w:rPr>
          <w:rFonts w:asciiTheme="majorHAnsi" w:hAnsiTheme="majorHAnsi"/>
          <w:sz w:val="20"/>
          <w:szCs w:val="20"/>
        </w:rPr>
        <w:tab/>
      </w:r>
    </w:p>
    <w:p w:rsidR="00AA0A2C" w:rsidRPr="00AA0A2C" w:rsidRDefault="00AA0A2C" w:rsidP="00CD7283">
      <w:pPr>
        <w:pStyle w:val="Ttulo3"/>
        <w:numPr>
          <w:ilvl w:val="2"/>
          <w:numId w:val="25"/>
        </w:numPr>
        <w:rPr>
          <w:b w:val="0"/>
        </w:rPr>
      </w:pPr>
      <w:r w:rsidRPr="00AA0A2C">
        <w:t xml:space="preserve">Etapa </w:t>
      </w:r>
      <w:r>
        <w:t>Operativa en V</w:t>
      </w:r>
      <w:r w:rsidRPr="00AA0A2C">
        <w:t xml:space="preserve">ía en </w:t>
      </w:r>
      <w:r>
        <w:t>S</w:t>
      </w:r>
      <w:r w:rsidRPr="00AA0A2C">
        <w:t>uperficie</w:t>
      </w:r>
    </w:p>
    <w:p w:rsidR="00AA0A2C" w:rsidRDefault="00AA0A2C" w:rsidP="00AA0A2C">
      <w:pPr>
        <w:rPr>
          <w:rFonts w:asciiTheme="majorHAnsi" w:hAnsiTheme="majorHAnsi"/>
          <w:sz w:val="18"/>
        </w:rPr>
      </w:pPr>
    </w:p>
    <w:p w:rsidR="00D44B72" w:rsidRPr="00AA0A2C" w:rsidRDefault="00D44B72" w:rsidP="00D44B72">
      <w:pPr>
        <w:pStyle w:val="Ttulo4"/>
      </w:pPr>
      <w:r w:rsidRPr="00AA0A2C">
        <w:t>Medio Físico</w:t>
      </w:r>
    </w:p>
    <w:p w:rsidR="00D44B72" w:rsidRPr="00AA0A2C" w:rsidRDefault="00D44B72" w:rsidP="00D44B72">
      <w:pPr>
        <w:rPr>
          <w:rFonts w:asciiTheme="majorHAnsi" w:hAnsiTheme="majorHAnsi"/>
          <w:b/>
        </w:rPr>
      </w:pPr>
    </w:p>
    <w:p w:rsidR="00D44B72" w:rsidRPr="00AA0A2C" w:rsidRDefault="00D44B72" w:rsidP="00D44B72">
      <w:pPr>
        <w:pStyle w:val="Ttulo5"/>
      </w:pPr>
      <w:r w:rsidRPr="00AA0A2C">
        <w:t xml:space="preserve">Valoración de impactos sobre el recurso </w:t>
      </w:r>
      <w:r>
        <w:t>hídrico</w:t>
      </w:r>
    </w:p>
    <w:p w:rsidR="00D44B72" w:rsidRPr="00AA0A2C" w:rsidRDefault="00D44B72" w:rsidP="00AA0A2C">
      <w:pPr>
        <w:rPr>
          <w:rFonts w:asciiTheme="majorHAnsi" w:hAnsiTheme="majorHAnsi"/>
          <w:sz w:val="18"/>
        </w:rPr>
      </w:pPr>
    </w:p>
    <w:p w:rsidR="00AA0A2C" w:rsidRPr="00AA0A2C" w:rsidRDefault="00AA0A2C" w:rsidP="00AA0A2C">
      <w:pPr>
        <w:rPr>
          <w:rFonts w:asciiTheme="majorHAnsi" w:hAnsiTheme="majorHAnsi"/>
          <w:b/>
        </w:rPr>
      </w:pPr>
      <w:r w:rsidRPr="00AA0A2C">
        <w:rPr>
          <w:rFonts w:asciiTheme="majorHAnsi" w:hAnsiTheme="majorHAnsi"/>
          <w:b/>
        </w:rPr>
        <w:t xml:space="preserve">Inversión del 1% </w:t>
      </w:r>
    </w:p>
    <w:p w:rsidR="00AA0A2C" w:rsidRPr="00AA0A2C" w:rsidRDefault="00AA0A2C" w:rsidP="00AA0A2C">
      <w:pPr>
        <w:rPr>
          <w:rFonts w:asciiTheme="majorHAnsi" w:hAnsiTheme="majorHAnsi"/>
        </w:rPr>
      </w:pPr>
    </w:p>
    <w:p w:rsidR="00AA0A2C" w:rsidRPr="00AA0A2C" w:rsidRDefault="00AA0A2C" w:rsidP="00AA0A2C">
      <w:pPr>
        <w:rPr>
          <w:rFonts w:asciiTheme="majorHAnsi" w:hAnsiTheme="majorHAnsi"/>
        </w:rPr>
      </w:pPr>
      <w:r w:rsidRPr="00AA0A2C">
        <w:rPr>
          <w:rFonts w:asciiTheme="majorHAnsi" w:hAnsiTheme="majorHAnsi"/>
        </w:rPr>
        <w:t>Dentro de los impactos positivos se tiene en cuenta la compensación del 1% sobre los principales Ítems de las obras civiles, que debe aportar el dueño del proyecto por el uso de aguas de fuentes hídricas y que se refleja en los recursos destinados a la conservación de las cuencas de donde se tomará el recurso</w:t>
      </w:r>
      <w:r w:rsidR="00A243FB">
        <w:rPr>
          <w:rStyle w:val="Refdenotaalpie"/>
          <w:rFonts w:asciiTheme="majorHAnsi" w:hAnsiTheme="majorHAnsi"/>
        </w:rPr>
        <w:footnoteReference w:id="13"/>
      </w:r>
      <w:r w:rsidRPr="00AA0A2C">
        <w:rPr>
          <w:rFonts w:asciiTheme="majorHAnsi" w:hAnsiTheme="majorHAnsi"/>
        </w:rPr>
        <w:t>.</w:t>
      </w:r>
    </w:p>
    <w:p w:rsidR="00AA0A2C" w:rsidRDefault="00D44B72" w:rsidP="00D44B72">
      <w:pPr>
        <w:pStyle w:val="Tablas"/>
        <w:rPr>
          <w:rFonts w:asciiTheme="majorHAnsi" w:hAnsiTheme="majorHAnsi"/>
        </w:rPr>
      </w:pPr>
      <w:r>
        <w:t xml:space="preserve">Tabla </w:t>
      </w:r>
      <w:r w:rsidR="006D0D6E">
        <w:fldChar w:fldCharType="begin"/>
      </w:r>
      <w:r w:rsidR="006D0D6E">
        <w:instrText xml:space="preserve"> STYLEREF 1 \s </w:instrText>
      </w:r>
      <w:r w:rsidR="006D0D6E">
        <w:fldChar w:fldCharType="separate"/>
      </w:r>
      <w:r w:rsidR="006D0D6E">
        <w:rPr>
          <w:noProof/>
        </w:rPr>
        <w:t>10</w:t>
      </w:r>
      <w:r w:rsidR="006D0D6E">
        <w:fldChar w:fldCharType="end"/>
      </w:r>
      <w:r w:rsidR="006D0D6E">
        <w:t>.</w:t>
      </w:r>
      <w:r w:rsidR="006D0D6E">
        <w:fldChar w:fldCharType="begin"/>
      </w:r>
      <w:r w:rsidR="006D0D6E">
        <w:instrText xml:space="preserve"> SEQ Tabla \* ARABIC \s 1 </w:instrText>
      </w:r>
      <w:r w:rsidR="006D0D6E">
        <w:fldChar w:fldCharType="separate"/>
      </w:r>
      <w:r w:rsidR="006D0D6E">
        <w:rPr>
          <w:noProof/>
        </w:rPr>
        <w:t>17</w:t>
      </w:r>
      <w:r w:rsidR="006D0D6E">
        <w:fldChar w:fldCharType="end"/>
      </w:r>
      <w:r>
        <w:t xml:space="preserve"> Presupuesto Plan de </w:t>
      </w:r>
      <w:r w:rsidRPr="00AA0A2C">
        <w:rPr>
          <w:rFonts w:asciiTheme="majorHAnsi" w:hAnsiTheme="majorHAnsi"/>
        </w:rPr>
        <w:t>Inversión del 1%</w:t>
      </w:r>
    </w:p>
    <w:tbl>
      <w:tblPr>
        <w:tblStyle w:val="Gminis"/>
        <w:tblW w:w="6240" w:type="dxa"/>
        <w:tblLook w:val="04A0" w:firstRow="1" w:lastRow="0" w:firstColumn="1" w:lastColumn="0" w:noHBand="0" w:noVBand="1"/>
      </w:tblPr>
      <w:tblGrid>
        <w:gridCol w:w="3347"/>
        <w:gridCol w:w="2933"/>
      </w:tblGrid>
      <w:tr w:rsidR="00D44B72" w:rsidRPr="00D44B72" w:rsidTr="00A7454D">
        <w:trPr>
          <w:cnfStyle w:val="100000000000" w:firstRow="1" w:lastRow="0" w:firstColumn="0" w:lastColumn="0" w:oddVBand="0" w:evenVBand="0" w:oddHBand="0" w:evenHBand="0" w:firstRowFirstColumn="0" w:firstRowLastColumn="0" w:lastRowFirstColumn="0" w:lastRowLastColumn="0"/>
          <w:trHeight w:val="240"/>
        </w:trPr>
        <w:tc>
          <w:tcPr>
            <w:cnfStyle w:val="001000000100" w:firstRow="0" w:lastRow="0" w:firstColumn="1" w:lastColumn="0" w:oddVBand="0" w:evenVBand="0" w:oddHBand="0" w:evenHBand="0" w:firstRowFirstColumn="1" w:firstRowLastColumn="0" w:lastRowFirstColumn="0" w:lastRowLastColumn="0"/>
            <w:tcW w:w="6240" w:type="dxa"/>
            <w:gridSpan w:val="2"/>
            <w:tcBorders>
              <w:top w:val="none" w:sz="0" w:space="0" w:color="auto"/>
              <w:left w:val="none" w:sz="0" w:space="0" w:color="auto"/>
              <w:bottom w:val="none" w:sz="0" w:space="0" w:color="auto"/>
              <w:right w:val="none" w:sz="0" w:space="0" w:color="auto"/>
            </w:tcBorders>
            <w:shd w:val="clear" w:color="auto" w:fill="BFBFBF" w:themeFill="background1" w:themeFillShade="BF"/>
            <w:noWrap/>
            <w:vAlign w:val="center"/>
            <w:hideMark/>
          </w:tcPr>
          <w:p w:rsidR="00D44B72" w:rsidRPr="00D44B72" w:rsidRDefault="00D44B72" w:rsidP="00D44B72">
            <w:pPr>
              <w:spacing w:line="240" w:lineRule="auto"/>
              <w:contextualSpacing w:val="0"/>
              <w:jc w:val="center"/>
              <w:rPr>
                <w:rFonts w:eastAsia="Times New Roman"/>
                <w:bCs/>
                <w:color w:val="000000"/>
                <w:sz w:val="18"/>
                <w:szCs w:val="18"/>
                <w:lang w:eastAsia="es-CO"/>
              </w:rPr>
            </w:pPr>
            <w:r w:rsidRPr="00D44B72">
              <w:rPr>
                <w:rFonts w:eastAsia="Times New Roman"/>
                <w:bCs/>
                <w:color w:val="000000"/>
                <w:sz w:val="18"/>
                <w:szCs w:val="18"/>
                <w:lang w:eastAsia="es-CO"/>
              </w:rPr>
              <w:t>INVERSIÓN DEL 1%</w:t>
            </w:r>
          </w:p>
        </w:tc>
      </w:tr>
      <w:tr w:rsidR="00D44B72" w:rsidRPr="00D44B72" w:rsidTr="00A7454D">
        <w:trPr>
          <w:trHeight w:val="240"/>
        </w:trPr>
        <w:tc>
          <w:tcPr>
            <w:cnfStyle w:val="001000000000" w:firstRow="0" w:lastRow="0" w:firstColumn="1" w:lastColumn="0" w:oddVBand="0" w:evenVBand="0" w:oddHBand="0" w:evenHBand="0" w:firstRowFirstColumn="0" w:firstRowLastColumn="0" w:lastRowFirstColumn="0" w:lastRowLastColumn="0"/>
            <w:tcW w:w="3327" w:type="dxa"/>
            <w:tcBorders>
              <w:left w:val="none" w:sz="0" w:space="0" w:color="auto"/>
            </w:tcBorders>
            <w:shd w:val="clear" w:color="auto" w:fill="F2F2F2" w:themeFill="background1" w:themeFillShade="F2"/>
            <w:noWrap/>
            <w:vAlign w:val="center"/>
            <w:hideMark/>
          </w:tcPr>
          <w:p w:rsidR="00D44B72" w:rsidRPr="00D44B72" w:rsidRDefault="00D44B72" w:rsidP="00D44B72">
            <w:pPr>
              <w:spacing w:line="240" w:lineRule="auto"/>
              <w:contextualSpacing w:val="0"/>
              <w:jc w:val="center"/>
              <w:rPr>
                <w:rFonts w:eastAsia="Times New Roman"/>
                <w:b/>
                <w:bCs/>
                <w:color w:val="000000"/>
                <w:sz w:val="18"/>
                <w:szCs w:val="18"/>
                <w:lang w:eastAsia="es-CO"/>
              </w:rPr>
            </w:pPr>
            <w:r w:rsidRPr="00D44B72">
              <w:rPr>
                <w:rFonts w:eastAsia="Times New Roman"/>
                <w:b/>
                <w:bCs/>
                <w:color w:val="000000"/>
                <w:sz w:val="18"/>
                <w:szCs w:val="18"/>
                <w:lang w:eastAsia="es-CO"/>
              </w:rPr>
              <w:t>Inversión Total</w:t>
            </w:r>
          </w:p>
        </w:tc>
        <w:tc>
          <w:tcPr>
            <w:tcW w:w="2913" w:type="dxa"/>
            <w:noWrap/>
            <w:vAlign w:val="center"/>
            <w:hideMark/>
          </w:tcPr>
          <w:p w:rsidR="00D44B72" w:rsidRPr="00D44B72" w:rsidRDefault="00D44B72" w:rsidP="00D44B7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D44B72">
              <w:rPr>
                <w:rFonts w:eastAsia="Times New Roman"/>
                <w:b/>
                <w:bCs/>
                <w:color w:val="000000"/>
                <w:sz w:val="18"/>
                <w:szCs w:val="18"/>
                <w:lang w:eastAsia="es-CO"/>
              </w:rPr>
              <w:t>VPN</w:t>
            </w:r>
          </w:p>
        </w:tc>
      </w:tr>
      <w:tr w:rsidR="00D44B72" w:rsidRPr="00D44B72" w:rsidTr="00A7454D">
        <w:trPr>
          <w:trHeight w:val="240"/>
        </w:trPr>
        <w:tc>
          <w:tcPr>
            <w:cnfStyle w:val="001000000000" w:firstRow="0" w:lastRow="0" w:firstColumn="1" w:lastColumn="0" w:oddVBand="0" w:evenVBand="0" w:oddHBand="0" w:evenHBand="0" w:firstRowFirstColumn="0" w:firstRowLastColumn="0" w:lastRowFirstColumn="0" w:lastRowLastColumn="0"/>
            <w:tcW w:w="3327" w:type="dxa"/>
            <w:tcBorders>
              <w:left w:val="none" w:sz="0" w:space="0" w:color="auto"/>
            </w:tcBorders>
            <w:shd w:val="clear" w:color="auto" w:fill="F2F2F2" w:themeFill="background1" w:themeFillShade="F2"/>
            <w:noWrap/>
            <w:vAlign w:val="center"/>
            <w:hideMark/>
          </w:tcPr>
          <w:p w:rsidR="00D44B72" w:rsidRPr="00D44B72" w:rsidRDefault="00D44B72" w:rsidP="00D44B72">
            <w:pPr>
              <w:spacing w:line="240" w:lineRule="auto"/>
              <w:contextualSpacing w:val="0"/>
              <w:jc w:val="center"/>
              <w:rPr>
                <w:rFonts w:eastAsia="Times New Roman"/>
                <w:b/>
                <w:bCs/>
                <w:color w:val="000000"/>
                <w:sz w:val="18"/>
                <w:szCs w:val="18"/>
                <w:lang w:eastAsia="es-CO"/>
              </w:rPr>
            </w:pPr>
            <w:r w:rsidRPr="00D44B72">
              <w:rPr>
                <w:rFonts w:eastAsia="Times New Roman"/>
                <w:b/>
                <w:bCs/>
                <w:color w:val="000000"/>
                <w:sz w:val="18"/>
                <w:szCs w:val="18"/>
                <w:lang w:eastAsia="es-CO"/>
              </w:rPr>
              <w:t>1.402.937.453</w:t>
            </w:r>
          </w:p>
        </w:tc>
        <w:tc>
          <w:tcPr>
            <w:tcW w:w="2913" w:type="dxa"/>
            <w:noWrap/>
            <w:vAlign w:val="center"/>
            <w:hideMark/>
          </w:tcPr>
          <w:p w:rsidR="00D44B72" w:rsidRPr="00D44B72" w:rsidRDefault="00D44B72" w:rsidP="00D44B7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D44B72">
              <w:rPr>
                <w:rFonts w:eastAsia="Times New Roman"/>
                <w:color w:val="000000"/>
                <w:sz w:val="18"/>
                <w:szCs w:val="18"/>
                <w:lang w:eastAsia="es-CO"/>
              </w:rPr>
              <w:t>1.252.622.726</w:t>
            </w:r>
          </w:p>
        </w:tc>
      </w:tr>
    </w:tbl>
    <w:p w:rsidR="00D44B72" w:rsidRPr="00AA0A2C" w:rsidRDefault="00D44B72" w:rsidP="00D44B72">
      <w:pPr>
        <w:pStyle w:val="Notas"/>
        <w:rPr>
          <w:rFonts w:asciiTheme="majorHAnsi" w:hAnsiTheme="majorHAnsi"/>
        </w:rPr>
      </w:pPr>
      <w:bookmarkStart w:id="99" w:name="_Toc367786934"/>
      <w:r w:rsidRPr="00AA0A2C">
        <w:rPr>
          <w:rFonts w:asciiTheme="majorHAnsi" w:hAnsiTheme="majorHAnsi"/>
        </w:rPr>
        <w:t>Fuente: Autopista Rio Magdalena S.A.S., 2016.</w:t>
      </w:r>
    </w:p>
    <w:p w:rsidR="00AA0A2C" w:rsidRDefault="00AA0A2C" w:rsidP="00AA0A2C">
      <w:pPr>
        <w:rPr>
          <w:rFonts w:asciiTheme="majorHAnsi" w:hAnsiTheme="majorHAnsi"/>
          <w:sz w:val="18"/>
        </w:rPr>
      </w:pPr>
    </w:p>
    <w:p w:rsidR="00D44B72" w:rsidRPr="00AA0A2C" w:rsidRDefault="00D44B72" w:rsidP="00D44B72">
      <w:pPr>
        <w:pStyle w:val="Ttulo4"/>
      </w:pPr>
      <w:r w:rsidRPr="00AA0A2C">
        <w:t>Medio Biótico</w:t>
      </w:r>
    </w:p>
    <w:p w:rsidR="00D44B72" w:rsidRPr="00AA0A2C" w:rsidRDefault="00D44B72" w:rsidP="00D44B72">
      <w:pPr>
        <w:rPr>
          <w:rFonts w:asciiTheme="majorHAnsi" w:hAnsiTheme="majorHAnsi" w:cs="Arial"/>
          <w:b/>
        </w:rPr>
      </w:pPr>
    </w:p>
    <w:p w:rsidR="00D44B72" w:rsidRPr="00186175" w:rsidRDefault="00D44B72" w:rsidP="00D44B72">
      <w:pPr>
        <w:pStyle w:val="Ttulo5"/>
        <w:rPr>
          <w:rFonts w:asciiTheme="majorHAnsi" w:hAnsiTheme="majorHAnsi" w:cs="Arial"/>
          <w:b/>
        </w:rPr>
      </w:pPr>
      <w:r w:rsidRPr="00186175">
        <w:t xml:space="preserve">Valoración de impactos sobre el </w:t>
      </w:r>
      <w:r w:rsidRPr="00186175">
        <w:rPr>
          <w:rStyle w:val="Ttulo4Car"/>
          <w:u w:val="none"/>
        </w:rPr>
        <w:t>recurso Flora</w:t>
      </w:r>
      <w:r w:rsidRPr="00186175">
        <w:rPr>
          <w:rFonts w:asciiTheme="majorHAnsi" w:hAnsiTheme="majorHAnsi" w:cs="Arial"/>
          <w:b/>
        </w:rPr>
        <w:t xml:space="preserve"> </w:t>
      </w:r>
    </w:p>
    <w:p w:rsidR="0010296A" w:rsidRPr="00AA0A2C" w:rsidRDefault="0010296A" w:rsidP="00AA0A2C">
      <w:pPr>
        <w:rPr>
          <w:rFonts w:asciiTheme="majorHAnsi" w:hAnsiTheme="majorHAnsi"/>
          <w:sz w:val="18"/>
        </w:rPr>
      </w:pPr>
    </w:p>
    <w:bookmarkEnd w:id="99"/>
    <w:p w:rsidR="00AA0A2C" w:rsidRDefault="00D44B72" w:rsidP="00AA0A2C">
      <w:pPr>
        <w:rPr>
          <w:rFonts w:asciiTheme="majorHAnsi" w:hAnsiTheme="majorHAnsi"/>
          <w:b/>
        </w:rPr>
      </w:pPr>
      <w:r>
        <w:rPr>
          <w:rFonts w:asciiTheme="majorHAnsi" w:hAnsiTheme="majorHAnsi"/>
          <w:b/>
        </w:rPr>
        <w:t>Compensación por Aprovechamiento Forestal</w:t>
      </w:r>
    </w:p>
    <w:p w:rsidR="004B49C5" w:rsidRDefault="004B49C5" w:rsidP="00AA0A2C">
      <w:pPr>
        <w:rPr>
          <w:rFonts w:asciiTheme="majorHAnsi" w:hAnsiTheme="majorHAnsi"/>
          <w:b/>
        </w:rPr>
      </w:pPr>
    </w:p>
    <w:p w:rsidR="006F567E" w:rsidRPr="00AE17FD" w:rsidRDefault="006F567E" w:rsidP="006F567E">
      <w:pPr>
        <w:rPr>
          <w:rFonts w:asciiTheme="majorHAnsi" w:hAnsiTheme="majorHAnsi"/>
        </w:rPr>
      </w:pPr>
      <w:r>
        <w:rPr>
          <w:rFonts w:asciiTheme="majorHAnsi" w:hAnsiTheme="majorHAnsi"/>
        </w:rPr>
        <w:t xml:space="preserve">La compensación ambiental por el cambio en usos del suelo en terrenos forestales, tieen como </w:t>
      </w:r>
      <w:r w:rsidRPr="006F567E">
        <w:rPr>
          <w:rFonts w:asciiTheme="majorHAnsi" w:hAnsiTheme="majorHAnsi"/>
        </w:rPr>
        <w:t>propósito llevar a cabo acciones de restauración de suelos, reforestación y mantenimiento de los ecosistemas forestales deteriorados, para que una vez lograda su rehabilitación, se compensen los servicios ambientales que prestaban los ecosistemas que fueron afectados por el cambio de uso del suelo; entre ellos, la restauración del ciclo hidrológico y los ciclos biogeoquímicos, la captura de carbono, la recuperación paulatina de la biodiversidad, la producción de oxígeno, entre otros.</w:t>
      </w:r>
      <w:r w:rsidRPr="006F567E">
        <w:rPr>
          <w:vertAlign w:val="superscript"/>
        </w:rPr>
        <w:footnoteReference w:id="14"/>
      </w:r>
    </w:p>
    <w:p w:rsidR="006F567E" w:rsidRDefault="006F567E" w:rsidP="00ED7FA9">
      <w:pPr>
        <w:pStyle w:val="Tablas"/>
      </w:pPr>
    </w:p>
    <w:p w:rsidR="00ED7FA9" w:rsidRDefault="00ED7FA9" w:rsidP="00ED7FA9">
      <w:pPr>
        <w:pStyle w:val="Tablas"/>
      </w:pPr>
      <w:r>
        <w:t xml:space="preserve">Tabla </w:t>
      </w:r>
      <w:r w:rsidR="006D0D6E">
        <w:fldChar w:fldCharType="begin"/>
      </w:r>
      <w:r w:rsidR="006D0D6E">
        <w:instrText xml:space="preserve"> STYLEREF 1 \s </w:instrText>
      </w:r>
      <w:r w:rsidR="006D0D6E">
        <w:fldChar w:fldCharType="separate"/>
      </w:r>
      <w:r w:rsidR="006D0D6E">
        <w:rPr>
          <w:noProof/>
        </w:rPr>
        <w:t>10</w:t>
      </w:r>
      <w:r w:rsidR="006D0D6E">
        <w:fldChar w:fldCharType="end"/>
      </w:r>
      <w:r w:rsidR="006D0D6E">
        <w:t>.</w:t>
      </w:r>
      <w:r w:rsidR="006D0D6E">
        <w:fldChar w:fldCharType="begin"/>
      </w:r>
      <w:r w:rsidR="006D0D6E">
        <w:instrText xml:space="preserve"> SEQ Tabla \* ARABIC \s 1 </w:instrText>
      </w:r>
      <w:r w:rsidR="006D0D6E">
        <w:fldChar w:fldCharType="separate"/>
      </w:r>
      <w:r w:rsidR="006D0D6E">
        <w:rPr>
          <w:noProof/>
        </w:rPr>
        <w:t>18</w:t>
      </w:r>
      <w:r w:rsidR="006D0D6E">
        <w:fldChar w:fldCharType="end"/>
      </w:r>
      <w:r>
        <w:t xml:space="preserve"> </w:t>
      </w:r>
      <w:r w:rsidRPr="00370CFB">
        <w:t>Detalle del Plan de Compensación</w:t>
      </w:r>
      <w:r>
        <w:t xml:space="preserve"> </w:t>
      </w:r>
      <w:r w:rsidR="00E436EA">
        <w:t>Forestal</w:t>
      </w:r>
    </w:p>
    <w:tbl>
      <w:tblPr>
        <w:tblStyle w:val="Gminis"/>
        <w:tblW w:w="5000" w:type="pct"/>
        <w:tblLook w:val="04A0" w:firstRow="1" w:lastRow="0" w:firstColumn="1" w:lastColumn="0" w:noHBand="0" w:noVBand="1"/>
      </w:tblPr>
      <w:tblGrid>
        <w:gridCol w:w="2006"/>
        <w:gridCol w:w="2102"/>
        <w:gridCol w:w="2564"/>
        <w:gridCol w:w="1589"/>
      </w:tblGrid>
      <w:tr w:rsidR="00E436EA" w:rsidRPr="00E436EA" w:rsidTr="00E436EA">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gridSpan w:val="4"/>
            <w:tcBorders>
              <w:top w:val="none" w:sz="0" w:space="0" w:color="auto"/>
              <w:left w:val="none" w:sz="0" w:space="0" w:color="auto"/>
              <w:bottom w:val="none" w:sz="0" w:space="0" w:color="auto"/>
              <w:right w:val="none" w:sz="0" w:space="0" w:color="auto"/>
            </w:tcBorders>
            <w:noWrap/>
            <w:vAlign w:val="center"/>
            <w:hideMark/>
          </w:tcPr>
          <w:p w:rsidR="00E436EA" w:rsidRPr="00E436EA" w:rsidRDefault="00E436EA" w:rsidP="00E436EA">
            <w:pPr>
              <w:spacing w:line="240" w:lineRule="auto"/>
              <w:contextualSpacing w:val="0"/>
              <w:jc w:val="center"/>
              <w:rPr>
                <w:rFonts w:eastAsia="Times New Roman"/>
                <w:b w:val="0"/>
                <w:bCs/>
                <w:color w:val="000000"/>
                <w:sz w:val="18"/>
                <w:szCs w:val="18"/>
                <w:lang w:eastAsia="es-CO"/>
              </w:rPr>
            </w:pPr>
            <w:r w:rsidRPr="00E436EA">
              <w:rPr>
                <w:rFonts w:eastAsia="Times New Roman"/>
                <w:b w:val="0"/>
                <w:bCs/>
                <w:color w:val="000000"/>
                <w:sz w:val="18"/>
                <w:szCs w:val="18"/>
                <w:lang w:eastAsia="es-CO"/>
              </w:rPr>
              <w:t>DETALLE DEL PLAN DE COMPENSACIÓN FORESTAL</w:t>
            </w:r>
          </w:p>
        </w:tc>
      </w:tr>
      <w:tr w:rsidR="00E436EA" w:rsidRPr="00E436EA" w:rsidTr="00E436EA">
        <w:trPr>
          <w:trHeight w:val="20"/>
        </w:trPr>
        <w:tc>
          <w:tcPr>
            <w:cnfStyle w:val="001000000000" w:firstRow="0" w:lastRow="0" w:firstColumn="1" w:lastColumn="0" w:oddVBand="0" w:evenVBand="0" w:oddHBand="0" w:evenHBand="0" w:firstRowFirstColumn="0" w:firstRowLastColumn="0" w:lastRowFirstColumn="0" w:lastRowLastColumn="0"/>
            <w:tcW w:w="1214" w:type="pct"/>
            <w:tcBorders>
              <w:left w:val="none" w:sz="0" w:space="0" w:color="auto"/>
            </w:tcBorders>
            <w:vAlign w:val="center"/>
            <w:hideMark/>
          </w:tcPr>
          <w:p w:rsidR="00E436EA" w:rsidRPr="00E436EA" w:rsidRDefault="00E436EA" w:rsidP="00E436EA">
            <w:pPr>
              <w:spacing w:line="240" w:lineRule="auto"/>
              <w:contextualSpacing w:val="0"/>
              <w:jc w:val="center"/>
              <w:rPr>
                <w:rFonts w:eastAsia="Times New Roman"/>
                <w:b/>
                <w:bCs/>
                <w:color w:val="000000"/>
                <w:sz w:val="18"/>
                <w:szCs w:val="18"/>
                <w:lang w:eastAsia="es-CO"/>
              </w:rPr>
            </w:pPr>
            <w:r w:rsidRPr="00E436EA">
              <w:rPr>
                <w:rFonts w:eastAsia="Times New Roman"/>
                <w:b/>
                <w:bCs/>
                <w:color w:val="000000"/>
                <w:sz w:val="18"/>
                <w:szCs w:val="18"/>
                <w:lang w:eastAsia="es-CO"/>
              </w:rPr>
              <w:t>Componente</w:t>
            </w:r>
          </w:p>
        </w:tc>
        <w:tc>
          <w:tcPr>
            <w:tcW w:w="3786" w:type="pct"/>
            <w:gridSpan w:val="3"/>
            <w:noWrap/>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Biótico</w:t>
            </w:r>
          </w:p>
        </w:tc>
      </w:tr>
      <w:tr w:rsidR="00E436EA" w:rsidRPr="00E436EA" w:rsidTr="00E436EA">
        <w:trPr>
          <w:trHeight w:val="20"/>
        </w:trPr>
        <w:tc>
          <w:tcPr>
            <w:cnfStyle w:val="001000000000" w:firstRow="0" w:lastRow="0" w:firstColumn="1" w:lastColumn="0" w:oddVBand="0" w:evenVBand="0" w:oddHBand="0" w:evenHBand="0" w:firstRowFirstColumn="0" w:firstRowLastColumn="0" w:lastRowFirstColumn="0" w:lastRowLastColumn="0"/>
            <w:tcW w:w="1214" w:type="pct"/>
            <w:tcBorders>
              <w:left w:val="none" w:sz="0" w:space="0" w:color="auto"/>
            </w:tcBorders>
            <w:vAlign w:val="center"/>
            <w:hideMark/>
          </w:tcPr>
          <w:p w:rsidR="00E436EA" w:rsidRPr="00E436EA" w:rsidRDefault="00E436EA" w:rsidP="00E436EA">
            <w:pPr>
              <w:spacing w:line="240" w:lineRule="auto"/>
              <w:contextualSpacing w:val="0"/>
              <w:jc w:val="center"/>
              <w:rPr>
                <w:rFonts w:eastAsia="Times New Roman"/>
                <w:b/>
                <w:bCs/>
                <w:color w:val="000000"/>
                <w:sz w:val="18"/>
                <w:szCs w:val="18"/>
                <w:lang w:eastAsia="es-CO"/>
              </w:rPr>
            </w:pPr>
            <w:r w:rsidRPr="00E436EA">
              <w:rPr>
                <w:rFonts w:eastAsia="Times New Roman"/>
                <w:b/>
                <w:bCs/>
                <w:color w:val="000000"/>
                <w:sz w:val="18"/>
                <w:szCs w:val="18"/>
                <w:lang w:eastAsia="es-CO"/>
              </w:rPr>
              <w:t>Elemento</w:t>
            </w:r>
          </w:p>
        </w:tc>
        <w:tc>
          <w:tcPr>
            <w:tcW w:w="3786" w:type="pct"/>
            <w:gridSpan w:val="3"/>
            <w:noWrap/>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Flora</w:t>
            </w:r>
          </w:p>
        </w:tc>
      </w:tr>
      <w:tr w:rsidR="00E436EA" w:rsidRPr="00E436EA" w:rsidTr="00E436EA">
        <w:trPr>
          <w:trHeight w:val="20"/>
        </w:trPr>
        <w:tc>
          <w:tcPr>
            <w:cnfStyle w:val="001000000000" w:firstRow="0" w:lastRow="0" w:firstColumn="1" w:lastColumn="0" w:oddVBand="0" w:evenVBand="0" w:oddHBand="0" w:evenHBand="0" w:firstRowFirstColumn="0" w:firstRowLastColumn="0" w:lastRowFirstColumn="0" w:lastRowLastColumn="0"/>
            <w:tcW w:w="1214" w:type="pct"/>
            <w:tcBorders>
              <w:left w:val="none" w:sz="0" w:space="0" w:color="auto"/>
            </w:tcBorders>
            <w:vAlign w:val="center"/>
            <w:hideMark/>
          </w:tcPr>
          <w:p w:rsidR="00E436EA" w:rsidRPr="00E436EA" w:rsidRDefault="00E436EA" w:rsidP="00E436EA">
            <w:pPr>
              <w:spacing w:line="240" w:lineRule="auto"/>
              <w:contextualSpacing w:val="0"/>
              <w:jc w:val="center"/>
              <w:rPr>
                <w:rFonts w:eastAsia="Times New Roman"/>
                <w:b/>
                <w:bCs/>
                <w:color w:val="000000"/>
                <w:sz w:val="18"/>
                <w:szCs w:val="18"/>
                <w:lang w:eastAsia="es-CO"/>
              </w:rPr>
            </w:pPr>
            <w:r w:rsidRPr="00E436EA">
              <w:rPr>
                <w:rFonts w:eastAsia="Times New Roman"/>
                <w:b/>
                <w:bCs/>
                <w:color w:val="000000"/>
                <w:sz w:val="18"/>
                <w:szCs w:val="18"/>
                <w:lang w:eastAsia="es-CO"/>
              </w:rPr>
              <w:t>Indicador</w:t>
            </w:r>
          </w:p>
        </w:tc>
        <w:tc>
          <w:tcPr>
            <w:tcW w:w="3786" w:type="pct"/>
            <w:gridSpan w:val="3"/>
            <w:noWrap/>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Cobertura</w:t>
            </w:r>
          </w:p>
        </w:tc>
      </w:tr>
      <w:tr w:rsidR="00E436EA" w:rsidRPr="00E436EA" w:rsidTr="00E436EA">
        <w:trPr>
          <w:trHeight w:val="20"/>
        </w:trPr>
        <w:tc>
          <w:tcPr>
            <w:cnfStyle w:val="001000000000" w:firstRow="0" w:lastRow="0" w:firstColumn="1" w:lastColumn="0" w:oddVBand="0" w:evenVBand="0" w:oddHBand="0" w:evenHBand="0" w:firstRowFirstColumn="0" w:firstRowLastColumn="0" w:lastRowFirstColumn="0" w:lastRowLastColumn="0"/>
            <w:tcW w:w="1214" w:type="pct"/>
            <w:tcBorders>
              <w:left w:val="none" w:sz="0" w:space="0" w:color="auto"/>
            </w:tcBorders>
            <w:vAlign w:val="center"/>
            <w:hideMark/>
          </w:tcPr>
          <w:p w:rsidR="00E436EA" w:rsidRPr="00E436EA" w:rsidRDefault="00E436EA" w:rsidP="00E436EA">
            <w:pPr>
              <w:spacing w:line="240" w:lineRule="auto"/>
              <w:contextualSpacing w:val="0"/>
              <w:jc w:val="center"/>
              <w:rPr>
                <w:rFonts w:eastAsia="Times New Roman"/>
                <w:b/>
                <w:bCs/>
                <w:color w:val="FF0000"/>
                <w:sz w:val="18"/>
                <w:szCs w:val="18"/>
                <w:lang w:eastAsia="es-CO"/>
              </w:rPr>
            </w:pPr>
            <w:r w:rsidRPr="00E436EA">
              <w:rPr>
                <w:rFonts w:eastAsia="Times New Roman"/>
                <w:b/>
                <w:bCs/>
                <w:color w:val="FF0000"/>
                <w:sz w:val="18"/>
                <w:szCs w:val="18"/>
                <w:lang w:eastAsia="es-CO"/>
              </w:rPr>
              <w:t>Impacto</w:t>
            </w:r>
          </w:p>
        </w:tc>
        <w:tc>
          <w:tcPr>
            <w:tcW w:w="3786" w:type="pct"/>
            <w:gridSpan w:val="3"/>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FF0000"/>
                <w:sz w:val="18"/>
                <w:szCs w:val="18"/>
                <w:lang w:eastAsia="es-CO"/>
              </w:rPr>
            </w:pPr>
            <w:r w:rsidRPr="00E436EA">
              <w:rPr>
                <w:rFonts w:eastAsia="Times New Roman"/>
                <w:b/>
                <w:bCs/>
                <w:color w:val="FF0000"/>
                <w:sz w:val="18"/>
                <w:szCs w:val="18"/>
                <w:lang w:eastAsia="es-CO"/>
              </w:rPr>
              <w:t>Compensación de cobertura vegetal</w:t>
            </w:r>
          </w:p>
        </w:tc>
      </w:tr>
      <w:tr w:rsidR="00E436EA" w:rsidRPr="00E436EA" w:rsidTr="00E436EA">
        <w:trPr>
          <w:trHeight w:val="20"/>
        </w:trPr>
        <w:tc>
          <w:tcPr>
            <w:cnfStyle w:val="001000000000" w:firstRow="0" w:lastRow="0" w:firstColumn="1" w:lastColumn="0" w:oddVBand="0" w:evenVBand="0" w:oddHBand="0" w:evenHBand="0" w:firstRowFirstColumn="0" w:firstRowLastColumn="0" w:lastRowFirstColumn="0" w:lastRowLastColumn="0"/>
            <w:tcW w:w="1214" w:type="pct"/>
            <w:vMerge w:val="restart"/>
            <w:tcBorders>
              <w:left w:val="none" w:sz="0" w:space="0" w:color="auto"/>
            </w:tcBorders>
            <w:vAlign w:val="center"/>
            <w:hideMark/>
          </w:tcPr>
          <w:p w:rsidR="00E436EA" w:rsidRPr="00E436EA" w:rsidRDefault="00E436EA" w:rsidP="00E436EA">
            <w:pPr>
              <w:spacing w:line="240" w:lineRule="auto"/>
              <w:contextualSpacing w:val="0"/>
              <w:jc w:val="center"/>
              <w:rPr>
                <w:rFonts w:eastAsia="Times New Roman"/>
                <w:b/>
                <w:bCs/>
                <w:color w:val="000000"/>
                <w:sz w:val="18"/>
                <w:szCs w:val="18"/>
                <w:lang w:eastAsia="es-CO"/>
              </w:rPr>
            </w:pPr>
            <w:r w:rsidRPr="00E436EA">
              <w:rPr>
                <w:rFonts w:eastAsia="Times New Roman"/>
                <w:b/>
                <w:bCs/>
                <w:color w:val="000000"/>
                <w:sz w:val="18"/>
                <w:szCs w:val="18"/>
                <w:lang w:eastAsia="es-CO"/>
              </w:rPr>
              <w:t>Compensación Forestal</w:t>
            </w:r>
          </w:p>
        </w:tc>
        <w:tc>
          <w:tcPr>
            <w:tcW w:w="1272" w:type="pct"/>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E436EA">
              <w:rPr>
                <w:rFonts w:eastAsia="Times New Roman"/>
                <w:b/>
                <w:bCs/>
                <w:color w:val="000000"/>
                <w:sz w:val="18"/>
                <w:szCs w:val="18"/>
                <w:lang w:eastAsia="es-CO"/>
              </w:rPr>
              <w:t xml:space="preserve">Total </w:t>
            </w:r>
            <w:r>
              <w:rPr>
                <w:rFonts w:eastAsia="Times New Roman"/>
                <w:b/>
                <w:bCs/>
                <w:color w:val="000000"/>
                <w:sz w:val="18"/>
                <w:szCs w:val="18"/>
                <w:lang w:eastAsia="es-CO"/>
              </w:rPr>
              <w:t>i</w:t>
            </w:r>
            <w:r w:rsidRPr="00E436EA">
              <w:rPr>
                <w:rFonts w:eastAsia="Times New Roman"/>
                <w:b/>
                <w:bCs/>
                <w:color w:val="000000"/>
                <w:sz w:val="18"/>
                <w:szCs w:val="18"/>
                <w:lang w:eastAsia="es-CO"/>
              </w:rPr>
              <w:t>ndividuos a Talar*</w:t>
            </w:r>
          </w:p>
        </w:tc>
        <w:tc>
          <w:tcPr>
            <w:tcW w:w="1552" w:type="pct"/>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Pr>
                <w:rFonts w:eastAsia="Times New Roman"/>
                <w:b/>
                <w:bCs/>
                <w:color w:val="000000"/>
                <w:sz w:val="18"/>
                <w:szCs w:val="18"/>
                <w:lang w:eastAsia="es-CO"/>
              </w:rPr>
              <w:t>Total i</w:t>
            </w:r>
            <w:r w:rsidRPr="00E436EA">
              <w:rPr>
                <w:rFonts w:eastAsia="Times New Roman"/>
                <w:b/>
                <w:bCs/>
                <w:color w:val="000000"/>
                <w:sz w:val="18"/>
                <w:szCs w:val="18"/>
                <w:lang w:eastAsia="es-CO"/>
              </w:rPr>
              <w:t>ndividuos a Compensar*</w:t>
            </w:r>
          </w:p>
        </w:tc>
        <w:tc>
          <w:tcPr>
            <w:tcW w:w="962" w:type="pct"/>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E436EA">
              <w:rPr>
                <w:rFonts w:eastAsia="Times New Roman"/>
                <w:b/>
                <w:bCs/>
                <w:color w:val="000000"/>
                <w:sz w:val="18"/>
                <w:szCs w:val="18"/>
                <w:lang w:eastAsia="es-CO"/>
              </w:rPr>
              <w:t>Ha a compensar**</w:t>
            </w:r>
          </w:p>
        </w:tc>
      </w:tr>
      <w:tr w:rsidR="00E436EA" w:rsidRPr="00E436EA" w:rsidTr="00E436EA">
        <w:trPr>
          <w:trHeight w:val="20"/>
        </w:trPr>
        <w:tc>
          <w:tcPr>
            <w:cnfStyle w:val="001000000000" w:firstRow="0" w:lastRow="0" w:firstColumn="1" w:lastColumn="0" w:oddVBand="0" w:evenVBand="0" w:oddHBand="0" w:evenHBand="0" w:firstRowFirstColumn="0" w:firstRowLastColumn="0" w:lastRowFirstColumn="0" w:lastRowLastColumn="0"/>
            <w:tcW w:w="1214" w:type="pct"/>
            <w:vMerge/>
            <w:tcBorders>
              <w:left w:val="none" w:sz="0" w:space="0" w:color="auto"/>
            </w:tcBorders>
            <w:vAlign w:val="center"/>
            <w:hideMark/>
          </w:tcPr>
          <w:p w:rsidR="00E436EA" w:rsidRPr="00E436EA" w:rsidRDefault="00E436EA" w:rsidP="00E436EA">
            <w:pPr>
              <w:spacing w:line="240" w:lineRule="auto"/>
              <w:contextualSpacing w:val="0"/>
              <w:jc w:val="center"/>
              <w:rPr>
                <w:rFonts w:eastAsia="Times New Roman"/>
                <w:b/>
                <w:bCs/>
                <w:color w:val="000000"/>
                <w:sz w:val="18"/>
                <w:szCs w:val="18"/>
                <w:lang w:eastAsia="es-CO"/>
              </w:rPr>
            </w:pPr>
          </w:p>
        </w:tc>
        <w:tc>
          <w:tcPr>
            <w:tcW w:w="1272" w:type="pct"/>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E436EA">
              <w:rPr>
                <w:rFonts w:eastAsia="Times New Roman"/>
                <w:b/>
                <w:bCs/>
                <w:color w:val="000000"/>
                <w:sz w:val="18"/>
                <w:szCs w:val="18"/>
                <w:lang w:eastAsia="es-CO"/>
              </w:rPr>
              <w:t>1207</w:t>
            </w:r>
          </w:p>
        </w:tc>
        <w:tc>
          <w:tcPr>
            <w:tcW w:w="1552" w:type="pct"/>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E436EA">
              <w:rPr>
                <w:rFonts w:eastAsia="Times New Roman"/>
                <w:b/>
                <w:bCs/>
                <w:color w:val="000000"/>
                <w:sz w:val="18"/>
                <w:szCs w:val="18"/>
                <w:lang w:eastAsia="es-CO"/>
              </w:rPr>
              <w:t>4395</w:t>
            </w:r>
          </w:p>
        </w:tc>
        <w:tc>
          <w:tcPr>
            <w:tcW w:w="962" w:type="pct"/>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E436EA">
              <w:rPr>
                <w:rFonts w:eastAsia="Times New Roman"/>
                <w:b/>
                <w:bCs/>
                <w:color w:val="000000"/>
                <w:sz w:val="18"/>
                <w:szCs w:val="18"/>
                <w:lang w:eastAsia="es-CO"/>
              </w:rPr>
              <w:t>3,96</w:t>
            </w:r>
          </w:p>
        </w:tc>
      </w:tr>
    </w:tbl>
    <w:p w:rsidR="00ED7FA9" w:rsidRPr="00AA0A2C" w:rsidRDefault="00ED7FA9" w:rsidP="00E436EA">
      <w:pPr>
        <w:pStyle w:val="Notas"/>
      </w:pPr>
      <w:r w:rsidRPr="00AA0A2C">
        <w:t>Fuente: Autopista Rio Magdalena S.A.S., 2016.</w:t>
      </w:r>
      <w:r w:rsidR="00E436EA">
        <w:t xml:space="preserve">Fuente </w:t>
      </w:r>
    </w:p>
    <w:p w:rsidR="00ED7FA9" w:rsidRDefault="00ED7FA9" w:rsidP="00ED7FA9">
      <w:pPr>
        <w:jc w:val="center"/>
        <w:rPr>
          <w:rFonts w:asciiTheme="majorHAnsi" w:hAnsiTheme="majorHAnsi"/>
        </w:rPr>
      </w:pPr>
    </w:p>
    <w:p w:rsidR="006F567E" w:rsidRDefault="006F567E">
      <w:pPr>
        <w:spacing w:line="240" w:lineRule="auto"/>
        <w:contextualSpacing w:val="0"/>
        <w:jc w:val="left"/>
        <w:rPr>
          <w:b/>
          <w:bCs/>
          <w:sz w:val="20"/>
          <w:szCs w:val="20"/>
        </w:rPr>
      </w:pPr>
      <w:r>
        <w:br w:type="page"/>
      </w:r>
    </w:p>
    <w:p w:rsidR="00E436EA" w:rsidRDefault="00E436EA" w:rsidP="00E436EA">
      <w:pPr>
        <w:pStyle w:val="Tablas"/>
      </w:pPr>
      <w:r>
        <w:t xml:space="preserve">Tabla </w:t>
      </w:r>
      <w:r w:rsidR="006D0D6E">
        <w:fldChar w:fldCharType="begin"/>
      </w:r>
      <w:r w:rsidR="006D0D6E">
        <w:instrText xml:space="preserve"> STYLEREF 1 \s </w:instrText>
      </w:r>
      <w:r w:rsidR="006D0D6E">
        <w:fldChar w:fldCharType="separate"/>
      </w:r>
      <w:r w:rsidR="006D0D6E">
        <w:rPr>
          <w:noProof/>
        </w:rPr>
        <w:t>10</w:t>
      </w:r>
      <w:r w:rsidR="006D0D6E">
        <w:fldChar w:fldCharType="end"/>
      </w:r>
      <w:r w:rsidR="006D0D6E">
        <w:t>.</w:t>
      </w:r>
      <w:r w:rsidR="006D0D6E">
        <w:fldChar w:fldCharType="begin"/>
      </w:r>
      <w:r w:rsidR="006D0D6E">
        <w:instrText xml:space="preserve"> SEQ Tabla \* ARABIC \s 1 </w:instrText>
      </w:r>
      <w:r w:rsidR="006D0D6E">
        <w:fldChar w:fldCharType="separate"/>
      </w:r>
      <w:r w:rsidR="006D0D6E">
        <w:rPr>
          <w:noProof/>
        </w:rPr>
        <w:t>19</w:t>
      </w:r>
      <w:r w:rsidR="006D0D6E">
        <w:fldChar w:fldCharType="end"/>
      </w:r>
      <w:r>
        <w:t xml:space="preserve"> Recuperación del Recurso Boscoso</w:t>
      </w:r>
    </w:p>
    <w:tbl>
      <w:tblPr>
        <w:tblStyle w:val="Gminis"/>
        <w:tblW w:w="5000" w:type="pct"/>
        <w:tblLook w:val="04A0" w:firstRow="1" w:lastRow="0" w:firstColumn="1" w:lastColumn="0" w:noHBand="0" w:noVBand="1"/>
      </w:tblPr>
      <w:tblGrid>
        <w:gridCol w:w="2597"/>
        <w:gridCol w:w="798"/>
        <w:gridCol w:w="2394"/>
        <w:gridCol w:w="2472"/>
      </w:tblGrid>
      <w:tr w:rsidR="00E436EA" w:rsidRPr="00E436EA" w:rsidTr="00E436EA">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gridSpan w:val="4"/>
            <w:tcBorders>
              <w:top w:val="none" w:sz="0" w:space="0" w:color="auto"/>
              <w:left w:val="none" w:sz="0" w:space="0" w:color="auto"/>
              <w:bottom w:val="none" w:sz="0" w:space="0" w:color="auto"/>
              <w:right w:val="none" w:sz="0" w:space="0" w:color="auto"/>
            </w:tcBorders>
            <w:noWrap/>
            <w:vAlign w:val="center"/>
            <w:hideMark/>
          </w:tcPr>
          <w:p w:rsidR="00E436EA" w:rsidRPr="00E436EA" w:rsidRDefault="00E436EA" w:rsidP="00E436EA">
            <w:pPr>
              <w:spacing w:line="240" w:lineRule="auto"/>
              <w:contextualSpacing w:val="0"/>
              <w:jc w:val="center"/>
              <w:rPr>
                <w:rFonts w:eastAsia="Times New Roman"/>
                <w:b w:val="0"/>
                <w:bCs/>
                <w:color w:val="000000"/>
                <w:sz w:val="18"/>
                <w:szCs w:val="18"/>
                <w:lang w:eastAsia="es-CO"/>
              </w:rPr>
            </w:pPr>
            <w:r w:rsidRPr="00E436EA">
              <w:rPr>
                <w:rFonts w:eastAsia="Times New Roman"/>
                <w:bCs/>
                <w:color w:val="000000"/>
                <w:sz w:val="18"/>
                <w:szCs w:val="18"/>
                <w:lang w:eastAsia="es-CO"/>
              </w:rPr>
              <w:t>RECUPERACIÓN DEL RECURSO BOSCOSO</w:t>
            </w:r>
          </w:p>
        </w:tc>
      </w:tr>
      <w:tr w:rsidR="00E436EA" w:rsidRPr="00E436EA" w:rsidTr="00E436EA">
        <w:trPr>
          <w:trHeight w:val="20"/>
        </w:trPr>
        <w:tc>
          <w:tcPr>
            <w:cnfStyle w:val="001000000000" w:firstRow="0" w:lastRow="0" w:firstColumn="1" w:lastColumn="0" w:oddVBand="0" w:evenVBand="0" w:oddHBand="0" w:evenHBand="0" w:firstRowFirstColumn="0" w:firstRowLastColumn="0" w:lastRowFirstColumn="0" w:lastRowLastColumn="0"/>
            <w:tcW w:w="1572" w:type="pct"/>
            <w:tcBorders>
              <w:left w:val="none" w:sz="0" w:space="0" w:color="auto"/>
            </w:tcBorders>
            <w:noWrap/>
            <w:vAlign w:val="center"/>
            <w:hideMark/>
          </w:tcPr>
          <w:p w:rsidR="00E436EA" w:rsidRPr="00E436EA" w:rsidRDefault="00E436EA" w:rsidP="00E436EA">
            <w:pPr>
              <w:spacing w:line="240" w:lineRule="auto"/>
              <w:contextualSpacing w:val="0"/>
              <w:jc w:val="center"/>
              <w:rPr>
                <w:rFonts w:eastAsia="Times New Roman"/>
                <w:b/>
                <w:bCs/>
                <w:color w:val="000000"/>
                <w:sz w:val="18"/>
                <w:szCs w:val="18"/>
                <w:lang w:eastAsia="es-CO"/>
              </w:rPr>
            </w:pPr>
            <w:r w:rsidRPr="00E436EA">
              <w:rPr>
                <w:rFonts w:eastAsia="Times New Roman"/>
                <w:b/>
                <w:bCs/>
                <w:color w:val="000000"/>
                <w:sz w:val="18"/>
                <w:szCs w:val="18"/>
                <w:lang w:eastAsia="es-CO"/>
              </w:rPr>
              <w:t>Cobertura</w:t>
            </w:r>
          </w:p>
        </w:tc>
        <w:tc>
          <w:tcPr>
            <w:tcW w:w="483" w:type="pct"/>
            <w:noWrap/>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E436EA">
              <w:rPr>
                <w:rFonts w:eastAsia="Times New Roman"/>
                <w:b/>
                <w:bCs/>
                <w:color w:val="000000"/>
                <w:sz w:val="18"/>
                <w:szCs w:val="18"/>
                <w:lang w:eastAsia="es-CO"/>
              </w:rPr>
              <w:t>(Ha)*</w:t>
            </w:r>
          </w:p>
        </w:tc>
        <w:tc>
          <w:tcPr>
            <w:tcW w:w="1449" w:type="pct"/>
            <w:noWrap/>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E436EA">
              <w:rPr>
                <w:rFonts w:eastAsia="Times New Roman"/>
                <w:b/>
                <w:bCs/>
                <w:color w:val="000000"/>
                <w:sz w:val="18"/>
                <w:szCs w:val="18"/>
                <w:lang w:eastAsia="es-CO"/>
              </w:rPr>
              <w:t>Valor por Ha**</w:t>
            </w:r>
          </w:p>
        </w:tc>
        <w:tc>
          <w:tcPr>
            <w:tcW w:w="1496" w:type="pct"/>
            <w:noWrap/>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E436EA">
              <w:rPr>
                <w:rFonts w:eastAsia="Times New Roman"/>
                <w:b/>
                <w:bCs/>
                <w:color w:val="000000"/>
                <w:sz w:val="18"/>
                <w:szCs w:val="18"/>
                <w:lang w:eastAsia="es-CO"/>
              </w:rPr>
              <w:t>Valor Total</w:t>
            </w:r>
          </w:p>
        </w:tc>
      </w:tr>
      <w:tr w:rsidR="00E436EA" w:rsidRPr="00E436EA" w:rsidTr="00E436EA">
        <w:trPr>
          <w:trHeight w:val="20"/>
        </w:trPr>
        <w:tc>
          <w:tcPr>
            <w:cnfStyle w:val="001000000000" w:firstRow="0" w:lastRow="0" w:firstColumn="1" w:lastColumn="0" w:oddVBand="0" w:evenVBand="0" w:oddHBand="0" w:evenHBand="0" w:firstRowFirstColumn="0" w:firstRowLastColumn="0" w:lastRowFirstColumn="0" w:lastRowLastColumn="0"/>
            <w:tcW w:w="1572" w:type="pct"/>
            <w:tcBorders>
              <w:left w:val="none" w:sz="0" w:space="0" w:color="auto"/>
            </w:tcBorders>
            <w:vAlign w:val="center"/>
            <w:hideMark/>
          </w:tcPr>
          <w:p w:rsidR="00E436EA" w:rsidRPr="00E436EA" w:rsidRDefault="00E436EA" w:rsidP="00E436EA">
            <w:pPr>
              <w:spacing w:line="240" w:lineRule="auto"/>
              <w:contextualSpacing w:val="0"/>
              <w:jc w:val="center"/>
              <w:rPr>
                <w:rFonts w:eastAsia="Times New Roman"/>
                <w:sz w:val="18"/>
                <w:szCs w:val="18"/>
                <w:lang w:eastAsia="es-CO"/>
              </w:rPr>
            </w:pPr>
            <w:r w:rsidRPr="00E436EA">
              <w:rPr>
                <w:rFonts w:eastAsia="Times New Roman"/>
                <w:sz w:val="18"/>
                <w:szCs w:val="18"/>
                <w:lang w:eastAsia="es-CO"/>
              </w:rPr>
              <w:t>Compensación Forestal</w:t>
            </w:r>
          </w:p>
        </w:tc>
        <w:tc>
          <w:tcPr>
            <w:tcW w:w="483" w:type="pct"/>
            <w:noWrap/>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E436EA">
              <w:rPr>
                <w:rFonts w:eastAsia="Times New Roman"/>
                <w:sz w:val="18"/>
                <w:szCs w:val="18"/>
                <w:lang w:eastAsia="es-CO"/>
              </w:rPr>
              <w:t>3,96</w:t>
            </w:r>
          </w:p>
        </w:tc>
        <w:tc>
          <w:tcPr>
            <w:tcW w:w="1449" w:type="pct"/>
            <w:noWrap/>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 xml:space="preserve">                      2.297.695 </w:t>
            </w:r>
          </w:p>
        </w:tc>
        <w:tc>
          <w:tcPr>
            <w:tcW w:w="1496" w:type="pct"/>
            <w:noWrap/>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 xml:space="preserve">                      9.097.630 </w:t>
            </w:r>
          </w:p>
        </w:tc>
      </w:tr>
      <w:tr w:rsidR="00E436EA" w:rsidRPr="00E436EA" w:rsidTr="00E436EA">
        <w:trPr>
          <w:trHeight w:val="20"/>
        </w:trPr>
        <w:tc>
          <w:tcPr>
            <w:cnfStyle w:val="001000000000" w:firstRow="0" w:lastRow="0" w:firstColumn="1" w:lastColumn="0" w:oddVBand="0" w:evenVBand="0" w:oddHBand="0" w:evenHBand="0" w:firstRowFirstColumn="0" w:firstRowLastColumn="0" w:lastRowFirstColumn="0" w:lastRowLastColumn="0"/>
            <w:tcW w:w="3504" w:type="pct"/>
            <w:gridSpan w:val="3"/>
            <w:tcBorders>
              <w:left w:val="none" w:sz="0" w:space="0" w:color="auto"/>
            </w:tcBorders>
            <w:shd w:val="clear" w:color="auto" w:fill="F2F2F2" w:themeFill="background1" w:themeFillShade="F2"/>
            <w:vAlign w:val="center"/>
            <w:hideMark/>
          </w:tcPr>
          <w:p w:rsidR="00E436EA" w:rsidRPr="00E436EA" w:rsidRDefault="00E436EA" w:rsidP="00E436EA">
            <w:pPr>
              <w:spacing w:line="240" w:lineRule="auto"/>
              <w:contextualSpacing w:val="0"/>
              <w:jc w:val="center"/>
              <w:rPr>
                <w:rFonts w:eastAsia="Times New Roman"/>
                <w:b/>
                <w:bCs/>
                <w:sz w:val="18"/>
                <w:szCs w:val="18"/>
                <w:lang w:eastAsia="es-CO"/>
              </w:rPr>
            </w:pPr>
            <w:r w:rsidRPr="00E436EA">
              <w:rPr>
                <w:rFonts w:eastAsia="Times New Roman"/>
                <w:b/>
                <w:bCs/>
                <w:sz w:val="18"/>
                <w:szCs w:val="18"/>
                <w:lang w:eastAsia="es-CO"/>
              </w:rPr>
              <w:t>Total</w:t>
            </w:r>
          </w:p>
        </w:tc>
        <w:tc>
          <w:tcPr>
            <w:tcW w:w="1496" w:type="pct"/>
            <w:shd w:val="clear" w:color="auto" w:fill="F2F2F2" w:themeFill="background1" w:themeFillShade="F2"/>
            <w:noWrap/>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E436EA">
              <w:rPr>
                <w:rFonts w:eastAsia="Times New Roman"/>
                <w:b/>
                <w:bCs/>
                <w:color w:val="000000"/>
                <w:sz w:val="18"/>
                <w:szCs w:val="18"/>
                <w:lang w:eastAsia="es-CO"/>
              </w:rPr>
              <w:t xml:space="preserve">                      9.097.630 </w:t>
            </w:r>
          </w:p>
        </w:tc>
      </w:tr>
      <w:tr w:rsidR="00E436EA" w:rsidRPr="00E436EA" w:rsidTr="00E436EA">
        <w:trPr>
          <w:trHeight w:val="20"/>
        </w:trPr>
        <w:tc>
          <w:tcPr>
            <w:cnfStyle w:val="001000000000" w:firstRow="0" w:lastRow="0" w:firstColumn="1" w:lastColumn="0" w:oddVBand="0" w:evenVBand="0" w:oddHBand="0" w:evenHBand="0" w:firstRowFirstColumn="0" w:firstRowLastColumn="0" w:lastRowFirstColumn="0" w:lastRowLastColumn="0"/>
            <w:tcW w:w="3504" w:type="pct"/>
            <w:gridSpan w:val="3"/>
            <w:tcBorders>
              <w:left w:val="none" w:sz="0" w:space="0" w:color="auto"/>
            </w:tcBorders>
            <w:vAlign w:val="center"/>
            <w:hideMark/>
          </w:tcPr>
          <w:p w:rsidR="00E436EA" w:rsidRPr="00E436EA" w:rsidRDefault="00E436EA" w:rsidP="00E436EA">
            <w:pPr>
              <w:spacing w:line="240" w:lineRule="auto"/>
              <w:contextualSpacing w:val="0"/>
              <w:jc w:val="center"/>
              <w:rPr>
                <w:rFonts w:eastAsia="Times New Roman"/>
                <w:sz w:val="18"/>
                <w:szCs w:val="18"/>
                <w:lang w:eastAsia="es-CO"/>
              </w:rPr>
            </w:pPr>
            <w:r w:rsidRPr="00E436EA">
              <w:rPr>
                <w:rFonts w:eastAsia="Times New Roman"/>
                <w:sz w:val="18"/>
                <w:szCs w:val="18"/>
                <w:lang w:eastAsia="es-CO"/>
              </w:rPr>
              <w:t>Valor Presente Neto ($)</w:t>
            </w:r>
          </w:p>
        </w:tc>
        <w:tc>
          <w:tcPr>
            <w:tcW w:w="1496" w:type="pct"/>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E436EA">
              <w:rPr>
                <w:rFonts w:eastAsia="Times New Roman"/>
                <w:sz w:val="18"/>
                <w:szCs w:val="18"/>
                <w:lang w:eastAsia="es-CO"/>
              </w:rPr>
              <w:t>8.122.884</w:t>
            </w:r>
          </w:p>
        </w:tc>
      </w:tr>
    </w:tbl>
    <w:p w:rsidR="00E436EA" w:rsidRPr="00AA0A2C" w:rsidRDefault="00E436EA" w:rsidP="00E436EA">
      <w:pPr>
        <w:pStyle w:val="Notas"/>
        <w:rPr>
          <w:rFonts w:asciiTheme="majorHAnsi" w:hAnsiTheme="majorHAnsi"/>
        </w:rPr>
      </w:pPr>
      <w:r w:rsidRPr="00AA0A2C">
        <w:rPr>
          <w:rFonts w:asciiTheme="majorHAnsi" w:hAnsiTheme="majorHAnsi"/>
        </w:rPr>
        <w:t>Fuente: Autopista Rio Magdalena S.A.S., 2016.</w:t>
      </w:r>
    </w:p>
    <w:p w:rsidR="00E436EA" w:rsidRPr="00B11821" w:rsidRDefault="00E436EA">
      <w:pPr>
        <w:spacing w:line="240" w:lineRule="auto"/>
        <w:contextualSpacing w:val="0"/>
        <w:jc w:val="left"/>
        <w:rPr>
          <w:b/>
          <w:bCs/>
          <w:sz w:val="14"/>
          <w:szCs w:val="20"/>
        </w:rPr>
      </w:pPr>
    </w:p>
    <w:p w:rsidR="00ED7FA9" w:rsidRDefault="00ED7FA9" w:rsidP="00ED7FA9">
      <w:pPr>
        <w:pStyle w:val="Tablas"/>
        <w:rPr>
          <w:rFonts w:asciiTheme="majorHAnsi" w:hAnsiTheme="majorHAnsi"/>
        </w:rPr>
      </w:pPr>
      <w:r>
        <w:t xml:space="preserve">Tabla </w:t>
      </w:r>
      <w:r w:rsidR="006D0D6E">
        <w:fldChar w:fldCharType="begin"/>
      </w:r>
      <w:r w:rsidR="006D0D6E">
        <w:instrText xml:space="preserve"> STYLEREF 1 \s </w:instrText>
      </w:r>
      <w:r w:rsidR="006D0D6E">
        <w:fldChar w:fldCharType="separate"/>
      </w:r>
      <w:r w:rsidR="006D0D6E">
        <w:rPr>
          <w:noProof/>
        </w:rPr>
        <w:t>10</w:t>
      </w:r>
      <w:r w:rsidR="006D0D6E">
        <w:fldChar w:fldCharType="end"/>
      </w:r>
      <w:r w:rsidR="006D0D6E">
        <w:t>.</w:t>
      </w:r>
      <w:r w:rsidR="006D0D6E">
        <w:fldChar w:fldCharType="begin"/>
      </w:r>
      <w:r w:rsidR="006D0D6E">
        <w:instrText xml:space="preserve"> SEQ Tabla \* ARABIC \s 1 </w:instrText>
      </w:r>
      <w:r w:rsidR="006D0D6E">
        <w:fldChar w:fldCharType="separate"/>
      </w:r>
      <w:r w:rsidR="006D0D6E">
        <w:rPr>
          <w:noProof/>
        </w:rPr>
        <w:t>20</w:t>
      </w:r>
      <w:r w:rsidR="006D0D6E">
        <w:fldChar w:fldCharType="end"/>
      </w:r>
      <w:r>
        <w:t xml:space="preserve"> </w:t>
      </w:r>
      <w:r w:rsidRPr="00AA0A2C">
        <w:rPr>
          <w:rFonts w:asciiTheme="majorHAnsi" w:hAnsiTheme="majorHAnsi"/>
        </w:rPr>
        <w:t>Compensación del Régimen de Escorrentía</w:t>
      </w:r>
    </w:p>
    <w:tbl>
      <w:tblPr>
        <w:tblStyle w:val="Gminis"/>
        <w:tblW w:w="5000" w:type="pct"/>
        <w:tblLook w:val="04A0" w:firstRow="1" w:lastRow="0" w:firstColumn="1" w:lastColumn="0" w:noHBand="0" w:noVBand="1"/>
      </w:tblPr>
      <w:tblGrid>
        <w:gridCol w:w="2653"/>
        <w:gridCol w:w="1442"/>
        <w:gridCol w:w="1327"/>
        <w:gridCol w:w="1393"/>
        <w:gridCol w:w="1446"/>
      </w:tblGrid>
      <w:tr w:rsidR="00E436EA" w:rsidRPr="00E436EA" w:rsidTr="006F567E">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gridSpan w:val="5"/>
            <w:tcBorders>
              <w:top w:val="none" w:sz="0" w:space="0" w:color="auto"/>
              <w:left w:val="none" w:sz="0" w:space="0" w:color="auto"/>
              <w:bottom w:val="none" w:sz="0" w:space="0" w:color="auto"/>
              <w:right w:val="none" w:sz="0" w:space="0" w:color="auto"/>
            </w:tcBorders>
            <w:noWrap/>
            <w:vAlign w:val="center"/>
            <w:hideMark/>
          </w:tcPr>
          <w:p w:rsidR="00E436EA" w:rsidRPr="00E436EA" w:rsidRDefault="00E436EA" w:rsidP="00E436EA">
            <w:pPr>
              <w:spacing w:line="240" w:lineRule="auto"/>
              <w:contextualSpacing w:val="0"/>
              <w:jc w:val="center"/>
              <w:rPr>
                <w:rFonts w:eastAsia="Times New Roman"/>
                <w:b w:val="0"/>
                <w:bCs/>
                <w:color w:val="000000"/>
                <w:sz w:val="18"/>
                <w:szCs w:val="18"/>
                <w:lang w:eastAsia="es-CO"/>
              </w:rPr>
            </w:pPr>
            <w:r w:rsidRPr="00E436EA">
              <w:rPr>
                <w:rFonts w:eastAsia="Times New Roman"/>
                <w:bCs/>
                <w:color w:val="000000"/>
                <w:sz w:val="18"/>
                <w:szCs w:val="18"/>
                <w:lang w:eastAsia="es-CO"/>
              </w:rPr>
              <w:t>COMPENSACIÓN DEL RÉGIMEN DE ESCORRENTÍA POR COMPENSACIÓN FORESTAL</w:t>
            </w:r>
          </w:p>
        </w:tc>
      </w:tr>
      <w:tr w:rsidR="00E436EA" w:rsidRPr="00E436EA" w:rsidTr="006F567E">
        <w:trPr>
          <w:trHeight w:val="20"/>
        </w:trPr>
        <w:tc>
          <w:tcPr>
            <w:cnfStyle w:val="001000000000" w:firstRow="0" w:lastRow="0" w:firstColumn="1" w:lastColumn="0" w:oddVBand="0" w:evenVBand="0" w:oddHBand="0" w:evenHBand="0" w:firstRowFirstColumn="0" w:firstRowLastColumn="0" w:lastRowFirstColumn="0" w:lastRowLastColumn="0"/>
            <w:tcW w:w="1606" w:type="pct"/>
            <w:vMerge w:val="restart"/>
            <w:tcBorders>
              <w:left w:val="none" w:sz="0" w:space="0" w:color="auto"/>
            </w:tcBorders>
            <w:vAlign w:val="center"/>
            <w:hideMark/>
          </w:tcPr>
          <w:p w:rsidR="00E436EA" w:rsidRPr="00E436EA" w:rsidRDefault="00E436EA" w:rsidP="00E436EA">
            <w:pPr>
              <w:spacing w:line="240" w:lineRule="auto"/>
              <w:contextualSpacing w:val="0"/>
              <w:jc w:val="center"/>
              <w:rPr>
                <w:rFonts w:eastAsia="Times New Roman"/>
                <w:b/>
                <w:bCs/>
                <w:color w:val="000000"/>
                <w:sz w:val="18"/>
                <w:szCs w:val="18"/>
                <w:lang w:eastAsia="es-CO"/>
              </w:rPr>
            </w:pPr>
            <w:r w:rsidRPr="00E436EA">
              <w:rPr>
                <w:rFonts w:eastAsia="Times New Roman"/>
                <w:b/>
                <w:bCs/>
                <w:color w:val="000000"/>
                <w:sz w:val="18"/>
                <w:szCs w:val="18"/>
                <w:lang w:eastAsia="es-CO"/>
              </w:rPr>
              <w:t>Componente biótico</w:t>
            </w:r>
          </w:p>
        </w:tc>
        <w:tc>
          <w:tcPr>
            <w:tcW w:w="1676" w:type="pct"/>
            <w:gridSpan w:val="2"/>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E436EA">
              <w:rPr>
                <w:rFonts w:eastAsia="Times New Roman"/>
                <w:b/>
                <w:bCs/>
                <w:color w:val="000000"/>
                <w:sz w:val="18"/>
                <w:szCs w:val="18"/>
                <w:lang w:eastAsia="es-CO"/>
              </w:rPr>
              <w:t>Cobertura vegetal</w:t>
            </w:r>
          </w:p>
        </w:tc>
        <w:tc>
          <w:tcPr>
            <w:tcW w:w="843" w:type="pct"/>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E436EA">
              <w:rPr>
                <w:rFonts w:eastAsia="Times New Roman"/>
                <w:b/>
                <w:bCs/>
                <w:color w:val="000000"/>
                <w:sz w:val="18"/>
                <w:szCs w:val="18"/>
                <w:lang w:eastAsia="es-CO"/>
              </w:rPr>
              <w:t>Ha a compensar</w:t>
            </w:r>
          </w:p>
        </w:tc>
        <w:tc>
          <w:tcPr>
            <w:tcW w:w="875" w:type="pct"/>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E436EA">
              <w:rPr>
                <w:rFonts w:eastAsia="Times New Roman"/>
                <w:b/>
                <w:bCs/>
                <w:color w:val="000000"/>
                <w:sz w:val="18"/>
                <w:szCs w:val="18"/>
                <w:lang w:eastAsia="es-CO"/>
              </w:rPr>
              <w:t>VALOR TOTAL ($)</w:t>
            </w:r>
          </w:p>
        </w:tc>
      </w:tr>
      <w:tr w:rsidR="00E436EA" w:rsidRPr="00E436EA" w:rsidTr="006F567E">
        <w:trPr>
          <w:trHeight w:val="20"/>
        </w:trPr>
        <w:tc>
          <w:tcPr>
            <w:cnfStyle w:val="001000000000" w:firstRow="0" w:lastRow="0" w:firstColumn="1" w:lastColumn="0" w:oddVBand="0" w:evenVBand="0" w:oddHBand="0" w:evenHBand="0" w:firstRowFirstColumn="0" w:firstRowLastColumn="0" w:lastRowFirstColumn="0" w:lastRowLastColumn="0"/>
            <w:tcW w:w="1606" w:type="pct"/>
            <w:vMerge/>
            <w:tcBorders>
              <w:left w:val="none" w:sz="0" w:space="0" w:color="auto"/>
            </w:tcBorders>
            <w:vAlign w:val="center"/>
            <w:hideMark/>
          </w:tcPr>
          <w:p w:rsidR="00E436EA" w:rsidRPr="00E436EA" w:rsidRDefault="00E436EA" w:rsidP="00E436EA">
            <w:pPr>
              <w:spacing w:line="240" w:lineRule="auto"/>
              <w:contextualSpacing w:val="0"/>
              <w:jc w:val="center"/>
              <w:rPr>
                <w:rFonts w:eastAsia="Times New Roman"/>
                <w:b/>
                <w:bCs/>
                <w:color w:val="000000"/>
                <w:sz w:val="18"/>
                <w:szCs w:val="18"/>
                <w:lang w:eastAsia="es-CO"/>
              </w:rPr>
            </w:pPr>
          </w:p>
        </w:tc>
        <w:tc>
          <w:tcPr>
            <w:tcW w:w="1676" w:type="pct"/>
            <w:gridSpan w:val="2"/>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E436EA">
              <w:rPr>
                <w:rFonts w:eastAsia="Times New Roman"/>
                <w:b/>
                <w:bCs/>
                <w:color w:val="000000"/>
                <w:sz w:val="18"/>
                <w:szCs w:val="18"/>
                <w:lang w:eastAsia="es-CO"/>
              </w:rPr>
              <w:t>Nº Hectáreas</w:t>
            </w:r>
          </w:p>
        </w:tc>
        <w:tc>
          <w:tcPr>
            <w:tcW w:w="843" w:type="pct"/>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3,96</w:t>
            </w:r>
          </w:p>
        </w:tc>
        <w:tc>
          <w:tcPr>
            <w:tcW w:w="875" w:type="pct"/>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3,96</w:t>
            </w:r>
          </w:p>
        </w:tc>
      </w:tr>
      <w:tr w:rsidR="00E436EA" w:rsidRPr="00E436EA" w:rsidTr="006F567E">
        <w:trPr>
          <w:trHeight w:val="20"/>
        </w:trPr>
        <w:tc>
          <w:tcPr>
            <w:cnfStyle w:val="001000000000" w:firstRow="0" w:lastRow="0" w:firstColumn="1" w:lastColumn="0" w:oddVBand="0" w:evenVBand="0" w:oddHBand="0" w:evenHBand="0" w:firstRowFirstColumn="0" w:firstRowLastColumn="0" w:lastRowFirstColumn="0" w:lastRowLastColumn="0"/>
            <w:tcW w:w="1606" w:type="pct"/>
            <w:vMerge w:val="restart"/>
            <w:tcBorders>
              <w:left w:val="none" w:sz="0" w:space="0" w:color="auto"/>
            </w:tcBorders>
            <w:vAlign w:val="center"/>
            <w:hideMark/>
          </w:tcPr>
          <w:p w:rsidR="00E436EA" w:rsidRPr="00E436EA" w:rsidRDefault="00E436EA" w:rsidP="00E436EA">
            <w:pPr>
              <w:spacing w:line="240" w:lineRule="auto"/>
              <w:contextualSpacing w:val="0"/>
              <w:jc w:val="center"/>
              <w:rPr>
                <w:rFonts w:eastAsia="Times New Roman"/>
                <w:b/>
                <w:bCs/>
                <w:color w:val="000000"/>
                <w:sz w:val="18"/>
                <w:szCs w:val="18"/>
                <w:lang w:eastAsia="es-CO"/>
              </w:rPr>
            </w:pPr>
            <w:r w:rsidRPr="00E436EA">
              <w:rPr>
                <w:rFonts w:eastAsia="Times New Roman"/>
                <w:b/>
                <w:bCs/>
                <w:color w:val="000000"/>
                <w:sz w:val="18"/>
                <w:szCs w:val="18"/>
                <w:lang w:eastAsia="es-CO"/>
              </w:rPr>
              <w:t>Compensación del régimen de escorrentía</w:t>
            </w:r>
          </w:p>
        </w:tc>
        <w:tc>
          <w:tcPr>
            <w:tcW w:w="873" w:type="pct"/>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Regulación hídrica</w:t>
            </w:r>
          </w:p>
        </w:tc>
        <w:tc>
          <w:tcPr>
            <w:tcW w:w="803" w:type="pct"/>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26.000 m</w:t>
            </w:r>
            <w:r w:rsidRPr="00E436EA">
              <w:rPr>
                <w:rFonts w:eastAsia="Times New Roman"/>
                <w:color w:val="000000"/>
                <w:sz w:val="18"/>
                <w:szCs w:val="18"/>
                <w:vertAlign w:val="superscript"/>
                <w:lang w:eastAsia="es-CO"/>
              </w:rPr>
              <w:t>3</w:t>
            </w:r>
            <w:r w:rsidRPr="00E436EA">
              <w:rPr>
                <w:rFonts w:eastAsia="Times New Roman"/>
                <w:color w:val="000000"/>
                <w:sz w:val="18"/>
                <w:szCs w:val="18"/>
                <w:lang w:eastAsia="es-CO"/>
              </w:rPr>
              <w:t>/ha-año *</w:t>
            </w:r>
          </w:p>
        </w:tc>
        <w:tc>
          <w:tcPr>
            <w:tcW w:w="843" w:type="pct"/>
            <w:noWrap/>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102.946</w:t>
            </w:r>
          </w:p>
        </w:tc>
        <w:tc>
          <w:tcPr>
            <w:tcW w:w="875" w:type="pct"/>
            <w:noWrap/>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102.946</w:t>
            </w:r>
          </w:p>
        </w:tc>
      </w:tr>
      <w:tr w:rsidR="004B49C5" w:rsidRPr="00E436EA" w:rsidTr="006F567E">
        <w:trPr>
          <w:trHeight w:val="20"/>
        </w:trPr>
        <w:tc>
          <w:tcPr>
            <w:cnfStyle w:val="001000000000" w:firstRow="0" w:lastRow="0" w:firstColumn="1" w:lastColumn="0" w:oddVBand="0" w:evenVBand="0" w:oddHBand="0" w:evenHBand="0" w:firstRowFirstColumn="0" w:firstRowLastColumn="0" w:lastRowFirstColumn="0" w:lastRowLastColumn="0"/>
            <w:tcW w:w="1606" w:type="pct"/>
            <w:vMerge/>
            <w:tcBorders>
              <w:left w:val="none" w:sz="0" w:space="0" w:color="auto"/>
            </w:tcBorders>
            <w:vAlign w:val="center"/>
            <w:hideMark/>
          </w:tcPr>
          <w:p w:rsidR="00E436EA" w:rsidRPr="00E436EA" w:rsidRDefault="00E436EA" w:rsidP="00E436EA">
            <w:pPr>
              <w:spacing w:line="240" w:lineRule="auto"/>
              <w:contextualSpacing w:val="0"/>
              <w:jc w:val="center"/>
              <w:rPr>
                <w:rFonts w:eastAsia="Times New Roman"/>
                <w:b/>
                <w:bCs/>
                <w:color w:val="000000"/>
                <w:sz w:val="18"/>
                <w:szCs w:val="18"/>
                <w:lang w:eastAsia="es-CO"/>
              </w:rPr>
            </w:pPr>
          </w:p>
        </w:tc>
        <w:tc>
          <w:tcPr>
            <w:tcW w:w="1676" w:type="pct"/>
            <w:gridSpan w:val="2"/>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Valor m</w:t>
            </w:r>
            <w:r w:rsidRPr="00E436EA">
              <w:rPr>
                <w:rFonts w:eastAsia="Times New Roman"/>
                <w:color w:val="000000"/>
                <w:sz w:val="18"/>
                <w:szCs w:val="18"/>
                <w:vertAlign w:val="superscript"/>
                <w:lang w:eastAsia="es-CO"/>
              </w:rPr>
              <w:t>3</w:t>
            </w:r>
            <w:r w:rsidRPr="00E436EA">
              <w:rPr>
                <w:rFonts w:eastAsia="Times New Roman"/>
                <w:color w:val="000000"/>
                <w:sz w:val="18"/>
                <w:szCs w:val="18"/>
                <w:lang w:eastAsia="es-CO"/>
              </w:rPr>
              <w:t>($) **</w:t>
            </w:r>
          </w:p>
        </w:tc>
        <w:tc>
          <w:tcPr>
            <w:tcW w:w="843" w:type="pct"/>
            <w:noWrap/>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132,01</w:t>
            </w:r>
          </w:p>
        </w:tc>
        <w:tc>
          <w:tcPr>
            <w:tcW w:w="875" w:type="pct"/>
            <w:noWrap/>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132,01</w:t>
            </w:r>
          </w:p>
        </w:tc>
      </w:tr>
      <w:tr w:rsidR="00E436EA" w:rsidRPr="00E436EA" w:rsidTr="006F567E">
        <w:trPr>
          <w:trHeight w:val="20"/>
        </w:trPr>
        <w:tc>
          <w:tcPr>
            <w:cnfStyle w:val="001000000000" w:firstRow="0" w:lastRow="0" w:firstColumn="1" w:lastColumn="0" w:oddVBand="0" w:evenVBand="0" w:oddHBand="0" w:evenHBand="0" w:firstRowFirstColumn="0" w:firstRowLastColumn="0" w:lastRowFirstColumn="0" w:lastRowLastColumn="0"/>
            <w:tcW w:w="1606" w:type="pct"/>
            <w:vMerge/>
            <w:tcBorders>
              <w:left w:val="none" w:sz="0" w:space="0" w:color="auto"/>
            </w:tcBorders>
            <w:vAlign w:val="center"/>
            <w:hideMark/>
          </w:tcPr>
          <w:p w:rsidR="00E436EA" w:rsidRPr="00E436EA" w:rsidRDefault="00E436EA" w:rsidP="00E436EA">
            <w:pPr>
              <w:spacing w:line="240" w:lineRule="auto"/>
              <w:contextualSpacing w:val="0"/>
              <w:jc w:val="center"/>
              <w:rPr>
                <w:rFonts w:eastAsia="Times New Roman"/>
                <w:b/>
                <w:bCs/>
                <w:color w:val="000000"/>
                <w:sz w:val="18"/>
                <w:szCs w:val="18"/>
                <w:lang w:eastAsia="es-CO"/>
              </w:rPr>
            </w:pPr>
          </w:p>
        </w:tc>
        <w:tc>
          <w:tcPr>
            <w:tcW w:w="1676" w:type="pct"/>
            <w:gridSpan w:val="2"/>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 xml:space="preserve">Valor anual Pesos </w:t>
            </w:r>
          </w:p>
        </w:tc>
        <w:tc>
          <w:tcPr>
            <w:tcW w:w="843" w:type="pct"/>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13.589.894</w:t>
            </w:r>
          </w:p>
        </w:tc>
        <w:tc>
          <w:tcPr>
            <w:tcW w:w="875" w:type="pct"/>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13.589.894</w:t>
            </w:r>
          </w:p>
        </w:tc>
      </w:tr>
      <w:tr w:rsidR="00E436EA" w:rsidRPr="00E436EA" w:rsidTr="006F567E">
        <w:trPr>
          <w:trHeight w:val="20"/>
        </w:trPr>
        <w:tc>
          <w:tcPr>
            <w:cnfStyle w:val="001000000000" w:firstRow="0" w:lastRow="0" w:firstColumn="1" w:lastColumn="0" w:oddVBand="0" w:evenVBand="0" w:oddHBand="0" w:evenHBand="0" w:firstRowFirstColumn="0" w:firstRowLastColumn="0" w:lastRowFirstColumn="0" w:lastRowLastColumn="0"/>
            <w:tcW w:w="1606" w:type="pct"/>
            <w:vMerge/>
            <w:tcBorders>
              <w:left w:val="none" w:sz="0" w:space="0" w:color="auto"/>
            </w:tcBorders>
            <w:vAlign w:val="center"/>
            <w:hideMark/>
          </w:tcPr>
          <w:p w:rsidR="00E436EA" w:rsidRPr="00E436EA" w:rsidRDefault="00E436EA" w:rsidP="00E436EA">
            <w:pPr>
              <w:spacing w:line="240" w:lineRule="auto"/>
              <w:contextualSpacing w:val="0"/>
              <w:jc w:val="center"/>
              <w:rPr>
                <w:rFonts w:eastAsia="Times New Roman"/>
                <w:b/>
                <w:bCs/>
                <w:color w:val="000000"/>
                <w:sz w:val="18"/>
                <w:szCs w:val="18"/>
                <w:lang w:eastAsia="es-CO"/>
              </w:rPr>
            </w:pPr>
          </w:p>
        </w:tc>
        <w:tc>
          <w:tcPr>
            <w:tcW w:w="1676" w:type="pct"/>
            <w:gridSpan w:val="2"/>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Años establecimiento***</w:t>
            </w:r>
          </w:p>
        </w:tc>
        <w:tc>
          <w:tcPr>
            <w:tcW w:w="843" w:type="pct"/>
            <w:noWrap/>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5</w:t>
            </w:r>
          </w:p>
        </w:tc>
        <w:tc>
          <w:tcPr>
            <w:tcW w:w="875" w:type="pct"/>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5</w:t>
            </w:r>
          </w:p>
        </w:tc>
      </w:tr>
      <w:tr w:rsidR="00E436EA" w:rsidRPr="00E436EA" w:rsidTr="006F567E">
        <w:trPr>
          <w:trHeight w:val="20"/>
        </w:trPr>
        <w:tc>
          <w:tcPr>
            <w:cnfStyle w:val="001000000000" w:firstRow="0" w:lastRow="0" w:firstColumn="1" w:lastColumn="0" w:oddVBand="0" w:evenVBand="0" w:oddHBand="0" w:evenHBand="0" w:firstRowFirstColumn="0" w:firstRowLastColumn="0" w:lastRowFirstColumn="0" w:lastRowLastColumn="0"/>
            <w:tcW w:w="1606" w:type="pct"/>
            <w:vMerge/>
            <w:tcBorders>
              <w:left w:val="none" w:sz="0" w:space="0" w:color="auto"/>
            </w:tcBorders>
            <w:vAlign w:val="center"/>
            <w:hideMark/>
          </w:tcPr>
          <w:p w:rsidR="00E436EA" w:rsidRPr="00E436EA" w:rsidRDefault="00E436EA" w:rsidP="00E436EA">
            <w:pPr>
              <w:spacing w:line="240" w:lineRule="auto"/>
              <w:contextualSpacing w:val="0"/>
              <w:jc w:val="center"/>
              <w:rPr>
                <w:rFonts w:eastAsia="Times New Roman"/>
                <w:b/>
                <w:bCs/>
                <w:color w:val="000000"/>
                <w:sz w:val="18"/>
                <w:szCs w:val="18"/>
                <w:lang w:eastAsia="es-CO"/>
              </w:rPr>
            </w:pPr>
          </w:p>
        </w:tc>
        <w:tc>
          <w:tcPr>
            <w:tcW w:w="1676" w:type="pct"/>
            <w:gridSpan w:val="2"/>
            <w:shd w:val="clear" w:color="auto" w:fill="F2F2F2" w:themeFill="background1" w:themeFillShade="F2"/>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E436EA">
              <w:rPr>
                <w:rFonts w:eastAsia="Times New Roman"/>
                <w:b/>
                <w:bCs/>
                <w:color w:val="000000"/>
                <w:sz w:val="18"/>
                <w:szCs w:val="18"/>
                <w:lang w:eastAsia="es-CO"/>
              </w:rPr>
              <w:t>Valor Total Pesos ($)</w:t>
            </w:r>
          </w:p>
        </w:tc>
        <w:tc>
          <w:tcPr>
            <w:tcW w:w="843" w:type="pct"/>
            <w:shd w:val="clear" w:color="auto" w:fill="F2F2F2" w:themeFill="background1" w:themeFillShade="F2"/>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E436EA">
              <w:rPr>
                <w:rFonts w:eastAsia="Times New Roman"/>
                <w:b/>
                <w:bCs/>
                <w:color w:val="000000"/>
                <w:sz w:val="18"/>
                <w:szCs w:val="18"/>
                <w:lang w:eastAsia="es-CO"/>
              </w:rPr>
              <w:t>67.949.472</w:t>
            </w:r>
          </w:p>
        </w:tc>
        <w:tc>
          <w:tcPr>
            <w:tcW w:w="875" w:type="pct"/>
            <w:shd w:val="clear" w:color="auto" w:fill="F2F2F2" w:themeFill="background1" w:themeFillShade="F2"/>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E436EA">
              <w:rPr>
                <w:rFonts w:eastAsia="Times New Roman"/>
                <w:b/>
                <w:bCs/>
                <w:color w:val="000000"/>
                <w:sz w:val="18"/>
                <w:szCs w:val="18"/>
                <w:lang w:eastAsia="es-CO"/>
              </w:rPr>
              <w:t>67.949.472</w:t>
            </w:r>
          </w:p>
        </w:tc>
      </w:tr>
      <w:tr w:rsidR="00E436EA" w:rsidRPr="00E436EA" w:rsidTr="006F567E">
        <w:trPr>
          <w:trHeight w:val="20"/>
        </w:trPr>
        <w:tc>
          <w:tcPr>
            <w:cnfStyle w:val="001000000000" w:firstRow="0" w:lastRow="0" w:firstColumn="1" w:lastColumn="0" w:oddVBand="0" w:evenVBand="0" w:oddHBand="0" w:evenHBand="0" w:firstRowFirstColumn="0" w:firstRowLastColumn="0" w:lastRowFirstColumn="0" w:lastRowLastColumn="0"/>
            <w:tcW w:w="1606" w:type="pct"/>
            <w:vMerge/>
            <w:tcBorders>
              <w:left w:val="none" w:sz="0" w:space="0" w:color="auto"/>
            </w:tcBorders>
            <w:vAlign w:val="center"/>
            <w:hideMark/>
          </w:tcPr>
          <w:p w:rsidR="00E436EA" w:rsidRPr="00E436EA" w:rsidRDefault="00E436EA" w:rsidP="00E436EA">
            <w:pPr>
              <w:spacing w:line="240" w:lineRule="auto"/>
              <w:contextualSpacing w:val="0"/>
              <w:jc w:val="center"/>
              <w:rPr>
                <w:rFonts w:eastAsia="Times New Roman"/>
                <w:b/>
                <w:bCs/>
                <w:color w:val="000000"/>
                <w:sz w:val="18"/>
                <w:szCs w:val="18"/>
                <w:lang w:eastAsia="es-CO"/>
              </w:rPr>
            </w:pPr>
          </w:p>
        </w:tc>
        <w:tc>
          <w:tcPr>
            <w:tcW w:w="1676" w:type="pct"/>
            <w:gridSpan w:val="2"/>
            <w:noWrap/>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Valor Presente Neto ($)</w:t>
            </w:r>
          </w:p>
        </w:tc>
        <w:tc>
          <w:tcPr>
            <w:tcW w:w="843" w:type="pct"/>
            <w:noWrap/>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60.669.171</w:t>
            </w:r>
          </w:p>
        </w:tc>
        <w:tc>
          <w:tcPr>
            <w:tcW w:w="875" w:type="pct"/>
            <w:noWrap/>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60.669.171</w:t>
            </w:r>
          </w:p>
        </w:tc>
      </w:tr>
    </w:tbl>
    <w:p w:rsidR="00ED7FA9" w:rsidRPr="00AA0A2C" w:rsidRDefault="00ED7FA9" w:rsidP="00ED7FA9">
      <w:pPr>
        <w:pStyle w:val="Notas"/>
        <w:rPr>
          <w:rFonts w:asciiTheme="majorHAnsi" w:hAnsiTheme="majorHAnsi"/>
        </w:rPr>
      </w:pPr>
      <w:r w:rsidRPr="00AA0A2C">
        <w:rPr>
          <w:rFonts w:asciiTheme="majorHAnsi" w:hAnsiTheme="majorHAnsi"/>
        </w:rPr>
        <w:t>Fuente: Autopista Rio Magdalena S.A.S., 2016.</w:t>
      </w:r>
    </w:p>
    <w:p w:rsidR="00ED7FA9" w:rsidRPr="00370CFB" w:rsidRDefault="00ED7FA9" w:rsidP="00ED7FA9">
      <w:pPr>
        <w:rPr>
          <w:rFonts w:asciiTheme="majorHAnsi" w:hAnsiTheme="majorHAnsi"/>
          <w:sz w:val="18"/>
          <w:szCs w:val="18"/>
        </w:rPr>
      </w:pPr>
      <w:r w:rsidRPr="00370CFB">
        <w:rPr>
          <w:rFonts w:asciiTheme="majorHAnsi" w:hAnsiTheme="majorHAnsi"/>
          <w:sz w:val="18"/>
          <w:szCs w:val="18"/>
        </w:rPr>
        <w:t>*: Precipitación promedio anual es de 2600 mm/año en el área de influencia equivalentes a 26.000 m3/año. Dato tomado del capítulo de caracterización abiótica del EIA.</w:t>
      </w:r>
      <w:r w:rsidRPr="00370CFB">
        <w:rPr>
          <w:rFonts w:asciiTheme="majorHAnsi" w:hAnsiTheme="majorHAnsi"/>
          <w:sz w:val="18"/>
          <w:szCs w:val="18"/>
        </w:rPr>
        <w:tab/>
      </w:r>
      <w:r w:rsidRPr="00370CFB">
        <w:rPr>
          <w:rFonts w:asciiTheme="majorHAnsi" w:hAnsiTheme="majorHAnsi"/>
          <w:sz w:val="18"/>
          <w:szCs w:val="18"/>
        </w:rPr>
        <w:tab/>
      </w:r>
      <w:r w:rsidRPr="00370CFB">
        <w:rPr>
          <w:rFonts w:asciiTheme="majorHAnsi" w:hAnsiTheme="majorHAnsi"/>
          <w:sz w:val="18"/>
          <w:szCs w:val="18"/>
        </w:rPr>
        <w:tab/>
      </w:r>
      <w:r w:rsidRPr="00370CFB">
        <w:rPr>
          <w:rFonts w:asciiTheme="majorHAnsi" w:hAnsiTheme="majorHAnsi"/>
          <w:sz w:val="18"/>
          <w:szCs w:val="18"/>
        </w:rPr>
        <w:tab/>
      </w:r>
    </w:p>
    <w:p w:rsidR="00ED7FA9" w:rsidRPr="00370CFB" w:rsidRDefault="00ED7FA9" w:rsidP="00ED7FA9">
      <w:pPr>
        <w:rPr>
          <w:rFonts w:asciiTheme="majorHAnsi" w:hAnsiTheme="majorHAnsi"/>
          <w:sz w:val="18"/>
          <w:szCs w:val="18"/>
        </w:rPr>
      </w:pPr>
      <w:r w:rsidRPr="00370CFB">
        <w:rPr>
          <w:rFonts w:asciiTheme="majorHAnsi" w:hAnsiTheme="majorHAnsi"/>
          <w:sz w:val="18"/>
          <w:szCs w:val="18"/>
        </w:rPr>
        <w:t>**:  La tarifa de agua por el servicio de regulación hídrica del bosque ($132,01m3) se obtiene del estudio Valoración Económica del Servicio Ambiental de Regulación Hídrica Guatemala 2002. (0,03US$/m3), convertido en pesos del 2002 a la tasa de cambio vigente en ese año ($2.778,21) y actualizado con el IPC hasta diciembre de 2015.</w:t>
      </w:r>
      <w:r w:rsidRPr="00370CFB">
        <w:rPr>
          <w:rFonts w:asciiTheme="majorHAnsi" w:hAnsiTheme="majorHAnsi"/>
          <w:sz w:val="18"/>
          <w:szCs w:val="18"/>
        </w:rPr>
        <w:tab/>
      </w:r>
      <w:r w:rsidRPr="00370CFB">
        <w:rPr>
          <w:rFonts w:asciiTheme="majorHAnsi" w:hAnsiTheme="majorHAnsi"/>
          <w:sz w:val="18"/>
          <w:szCs w:val="18"/>
        </w:rPr>
        <w:tab/>
      </w:r>
      <w:r w:rsidRPr="00370CFB">
        <w:rPr>
          <w:rFonts w:asciiTheme="majorHAnsi" w:hAnsiTheme="majorHAnsi"/>
          <w:sz w:val="18"/>
          <w:szCs w:val="18"/>
        </w:rPr>
        <w:tab/>
      </w:r>
      <w:r w:rsidRPr="00370CFB">
        <w:rPr>
          <w:rFonts w:asciiTheme="majorHAnsi" w:hAnsiTheme="majorHAnsi"/>
          <w:sz w:val="18"/>
          <w:szCs w:val="18"/>
        </w:rPr>
        <w:tab/>
      </w:r>
    </w:p>
    <w:p w:rsidR="00ED7FA9" w:rsidRDefault="00ED7FA9" w:rsidP="00ED7FA9">
      <w:pPr>
        <w:rPr>
          <w:rFonts w:asciiTheme="majorHAnsi" w:hAnsiTheme="majorHAnsi"/>
          <w:sz w:val="18"/>
          <w:szCs w:val="18"/>
        </w:rPr>
      </w:pPr>
      <w:r w:rsidRPr="00370CFB">
        <w:rPr>
          <w:rFonts w:asciiTheme="majorHAnsi" w:hAnsiTheme="majorHAnsi"/>
          <w:sz w:val="18"/>
          <w:szCs w:val="18"/>
        </w:rPr>
        <w:t>***: Se considera un periodo de cinco años en los que no habrá ganancias de captura de CO2, un primer año durante la tala y la plantación y cuatro años que tarda en recuperarse el bosque según Marwin Melga, 2006</w:t>
      </w:r>
      <w:r>
        <w:rPr>
          <w:rFonts w:asciiTheme="majorHAnsi" w:hAnsiTheme="majorHAnsi"/>
          <w:sz w:val="18"/>
          <w:szCs w:val="18"/>
        </w:rPr>
        <w:t>.</w:t>
      </w:r>
    </w:p>
    <w:p w:rsidR="00ED7FA9" w:rsidRDefault="00ED7FA9" w:rsidP="00ED7FA9">
      <w:pPr>
        <w:spacing w:line="240" w:lineRule="auto"/>
        <w:contextualSpacing w:val="0"/>
        <w:jc w:val="left"/>
        <w:rPr>
          <w:b/>
          <w:bCs/>
          <w:sz w:val="20"/>
          <w:szCs w:val="20"/>
        </w:rPr>
      </w:pPr>
    </w:p>
    <w:p w:rsidR="00ED7FA9" w:rsidRDefault="00ED7FA9" w:rsidP="00ED7FA9">
      <w:pPr>
        <w:pStyle w:val="Tablas"/>
        <w:rPr>
          <w:rFonts w:asciiTheme="majorHAnsi" w:hAnsiTheme="majorHAnsi"/>
        </w:rPr>
      </w:pPr>
      <w:r>
        <w:t xml:space="preserve">Tabla </w:t>
      </w:r>
      <w:r w:rsidR="006D0D6E">
        <w:fldChar w:fldCharType="begin"/>
      </w:r>
      <w:r w:rsidR="006D0D6E">
        <w:instrText xml:space="preserve"> STYLEREF 1 \s </w:instrText>
      </w:r>
      <w:r w:rsidR="006D0D6E">
        <w:fldChar w:fldCharType="separate"/>
      </w:r>
      <w:r w:rsidR="006D0D6E">
        <w:rPr>
          <w:noProof/>
        </w:rPr>
        <w:t>10</w:t>
      </w:r>
      <w:r w:rsidR="006D0D6E">
        <w:fldChar w:fldCharType="end"/>
      </w:r>
      <w:r w:rsidR="006D0D6E">
        <w:t>.</w:t>
      </w:r>
      <w:r w:rsidR="006D0D6E">
        <w:fldChar w:fldCharType="begin"/>
      </w:r>
      <w:r w:rsidR="006D0D6E">
        <w:instrText xml:space="preserve"> SEQ Tabla \* ARABIC \s 1 </w:instrText>
      </w:r>
      <w:r w:rsidR="006D0D6E">
        <w:fldChar w:fldCharType="separate"/>
      </w:r>
      <w:r w:rsidR="006D0D6E">
        <w:rPr>
          <w:noProof/>
        </w:rPr>
        <w:t>21</w:t>
      </w:r>
      <w:r w:rsidR="006D0D6E">
        <w:fldChar w:fldCharType="end"/>
      </w:r>
      <w:r>
        <w:t xml:space="preserve"> </w:t>
      </w:r>
      <w:r w:rsidRPr="00370CFB">
        <w:rPr>
          <w:rFonts w:asciiTheme="majorHAnsi" w:hAnsiTheme="majorHAnsi"/>
        </w:rPr>
        <w:t>Compensación del Régimen de Retención de Sedimentos</w:t>
      </w:r>
    </w:p>
    <w:tbl>
      <w:tblPr>
        <w:tblStyle w:val="Gminis"/>
        <w:tblW w:w="5000" w:type="pct"/>
        <w:tblLook w:val="04A0" w:firstRow="1" w:lastRow="0" w:firstColumn="1" w:lastColumn="0" w:noHBand="0" w:noVBand="1"/>
      </w:tblPr>
      <w:tblGrid>
        <w:gridCol w:w="2869"/>
        <w:gridCol w:w="1396"/>
        <w:gridCol w:w="1165"/>
        <w:gridCol w:w="1408"/>
        <w:gridCol w:w="1423"/>
      </w:tblGrid>
      <w:tr w:rsidR="00E436EA" w:rsidRPr="00E436EA" w:rsidTr="00E436EA">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gridSpan w:val="5"/>
            <w:tcBorders>
              <w:top w:val="none" w:sz="0" w:space="0" w:color="auto"/>
              <w:left w:val="none" w:sz="0" w:space="0" w:color="auto"/>
              <w:bottom w:val="none" w:sz="0" w:space="0" w:color="auto"/>
              <w:right w:val="none" w:sz="0" w:space="0" w:color="auto"/>
            </w:tcBorders>
            <w:noWrap/>
            <w:vAlign w:val="center"/>
            <w:hideMark/>
          </w:tcPr>
          <w:p w:rsidR="00E436EA" w:rsidRPr="006F567E" w:rsidRDefault="006F567E" w:rsidP="00E436EA">
            <w:pPr>
              <w:spacing w:line="240" w:lineRule="auto"/>
              <w:contextualSpacing w:val="0"/>
              <w:jc w:val="center"/>
              <w:rPr>
                <w:rFonts w:eastAsia="Times New Roman"/>
                <w:bCs/>
                <w:color w:val="000000"/>
                <w:sz w:val="18"/>
                <w:szCs w:val="18"/>
                <w:lang w:eastAsia="es-CO"/>
              </w:rPr>
            </w:pPr>
            <w:r w:rsidRPr="006F567E">
              <w:rPr>
                <w:rFonts w:eastAsia="Times New Roman"/>
                <w:bCs/>
                <w:color w:val="000000"/>
                <w:sz w:val="18"/>
                <w:szCs w:val="18"/>
                <w:lang w:eastAsia="es-CO"/>
              </w:rPr>
              <w:t>COMPENSACIÓN DEL RÉGIMEN DE RETENCIÓN DE SEDIMENTOS POR COMPENSACIÓN FORESTAL</w:t>
            </w:r>
          </w:p>
        </w:tc>
      </w:tr>
      <w:tr w:rsidR="00E436EA" w:rsidRPr="00E436EA" w:rsidTr="00E436EA">
        <w:trPr>
          <w:trHeight w:val="20"/>
        </w:trPr>
        <w:tc>
          <w:tcPr>
            <w:cnfStyle w:val="001000000000" w:firstRow="0" w:lastRow="0" w:firstColumn="1" w:lastColumn="0" w:oddVBand="0" w:evenVBand="0" w:oddHBand="0" w:evenHBand="0" w:firstRowFirstColumn="0" w:firstRowLastColumn="0" w:lastRowFirstColumn="0" w:lastRowLastColumn="0"/>
            <w:tcW w:w="1737" w:type="pct"/>
            <w:vMerge w:val="restart"/>
            <w:tcBorders>
              <w:left w:val="none" w:sz="0" w:space="0" w:color="auto"/>
            </w:tcBorders>
            <w:vAlign w:val="center"/>
            <w:hideMark/>
          </w:tcPr>
          <w:p w:rsidR="00E436EA" w:rsidRPr="00E436EA" w:rsidRDefault="00E436EA" w:rsidP="00E436EA">
            <w:pPr>
              <w:spacing w:line="240" w:lineRule="auto"/>
              <w:contextualSpacing w:val="0"/>
              <w:jc w:val="center"/>
              <w:rPr>
                <w:rFonts w:eastAsia="Times New Roman"/>
                <w:b/>
                <w:bCs/>
                <w:color w:val="000000"/>
                <w:sz w:val="18"/>
                <w:szCs w:val="18"/>
                <w:lang w:eastAsia="es-CO"/>
              </w:rPr>
            </w:pPr>
            <w:r w:rsidRPr="00E436EA">
              <w:rPr>
                <w:rFonts w:eastAsia="Times New Roman"/>
                <w:b/>
                <w:bCs/>
                <w:color w:val="000000"/>
                <w:sz w:val="18"/>
                <w:szCs w:val="18"/>
                <w:lang w:eastAsia="es-CO"/>
              </w:rPr>
              <w:t>Componente biótico</w:t>
            </w:r>
          </w:p>
        </w:tc>
        <w:tc>
          <w:tcPr>
            <w:tcW w:w="1550" w:type="pct"/>
            <w:gridSpan w:val="2"/>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E436EA">
              <w:rPr>
                <w:rFonts w:eastAsia="Times New Roman"/>
                <w:b/>
                <w:bCs/>
                <w:color w:val="000000"/>
                <w:sz w:val="18"/>
                <w:szCs w:val="18"/>
                <w:lang w:eastAsia="es-CO"/>
              </w:rPr>
              <w:t>Cobertura vegetal</w:t>
            </w:r>
          </w:p>
        </w:tc>
        <w:tc>
          <w:tcPr>
            <w:tcW w:w="852" w:type="pct"/>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E436EA">
              <w:rPr>
                <w:rFonts w:eastAsia="Times New Roman"/>
                <w:b/>
                <w:bCs/>
                <w:color w:val="000000"/>
                <w:sz w:val="18"/>
                <w:szCs w:val="18"/>
                <w:lang w:eastAsia="es-CO"/>
              </w:rPr>
              <w:t>Ha a compensar</w:t>
            </w:r>
          </w:p>
        </w:tc>
        <w:tc>
          <w:tcPr>
            <w:tcW w:w="861" w:type="pct"/>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E436EA">
              <w:rPr>
                <w:rFonts w:eastAsia="Times New Roman"/>
                <w:b/>
                <w:bCs/>
                <w:color w:val="000000"/>
                <w:sz w:val="18"/>
                <w:szCs w:val="18"/>
                <w:lang w:eastAsia="es-CO"/>
              </w:rPr>
              <w:t>VALOR TOTAL ($)</w:t>
            </w:r>
          </w:p>
        </w:tc>
      </w:tr>
      <w:tr w:rsidR="00E436EA" w:rsidRPr="00E436EA" w:rsidTr="00E436EA">
        <w:trPr>
          <w:trHeight w:val="20"/>
        </w:trPr>
        <w:tc>
          <w:tcPr>
            <w:cnfStyle w:val="001000000000" w:firstRow="0" w:lastRow="0" w:firstColumn="1" w:lastColumn="0" w:oddVBand="0" w:evenVBand="0" w:oddHBand="0" w:evenHBand="0" w:firstRowFirstColumn="0" w:firstRowLastColumn="0" w:lastRowFirstColumn="0" w:lastRowLastColumn="0"/>
            <w:tcW w:w="1737" w:type="pct"/>
            <w:vMerge/>
            <w:tcBorders>
              <w:left w:val="none" w:sz="0" w:space="0" w:color="auto"/>
            </w:tcBorders>
            <w:vAlign w:val="center"/>
            <w:hideMark/>
          </w:tcPr>
          <w:p w:rsidR="00E436EA" w:rsidRPr="00E436EA" w:rsidRDefault="00E436EA" w:rsidP="00E436EA">
            <w:pPr>
              <w:spacing w:line="240" w:lineRule="auto"/>
              <w:contextualSpacing w:val="0"/>
              <w:jc w:val="center"/>
              <w:rPr>
                <w:rFonts w:eastAsia="Times New Roman"/>
                <w:b/>
                <w:bCs/>
                <w:color w:val="000000"/>
                <w:sz w:val="18"/>
                <w:szCs w:val="18"/>
                <w:lang w:eastAsia="es-CO"/>
              </w:rPr>
            </w:pPr>
          </w:p>
        </w:tc>
        <w:tc>
          <w:tcPr>
            <w:tcW w:w="1550" w:type="pct"/>
            <w:gridSpan w:val="2"/>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E436EA">
              <w:rPr>
                <w:rFonts w:eastAsia="Times New Roman"/>
                <w:b/>
                <w:bCs/>
                <w:color w:val="000000"/>
                <w:sz w:val="18"/>
                <w:szCs w:val="18"/>
                <w:lang w:eastAsia="es-CO"/>
              </w:rPr>
              <w:t>Nº Hectáreas</w:t>
            </w:r>
          </w:p>
        </w:tc>
        <w:tc>
          <w:tcPr>
            <w:tcW w:w="852" w:type="pct"/>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3,96</w:t>
            </w:r>
          </w:p>
        </w:tc>
        <w:tc>
          <w:tcPr>
            <w:tcW w:w="861" w:type="pct"/>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3,96</w:t>
            </w:r>
          </w:p>
        </w:tc>
      </w:tr>
      <w:tr w:rsidR="00E436EA" w:rsidRPr="00E436EA" w:rsidTr="00E436EA">
        <w:trPr>
          <w:trHeight w:val="20"/>
        </w:trPr>
        <w:tc>
          <w:tcPr>
            <w:cnfStyle w:val="001000000000" w:firstRow="0" w:lastRow="0" w:firstColumn="1" w:lastColumn="0" w:oddVBand="0" w:evenVBand="0" w:oddHBand="0" w:evenHBand="0" w:firstRowFirstColumn="0" w:firstRowLastColumn="0" w:lastRowFirstColumn="0" w:lastRowLastColumn="0"/>
            <w:tcW w:w="1737" w:type="pct"/>
            <w:vMerge w:val="restart"/>
            <w:tcBorders>
              <w:left w:val="none" w:sz="0" w:space="0" w:color="auto"/>
            </w:tcBorders>
            <w:vAlign w:val="center"/>
            <w:hideMark/>
          </w:tcPr>
          <w:p w:rsidR="00E436EA" w:rsidRPr="00E436EA" w:rsidRDefault="00E436EA" w:rsidP="00E436EA">
            <w:pPr>
              <w:spacing w:line="240" w:lineRule="auto"/>
              <w:contextualSpacing w:val="0"/>
              <w:jc w:val="center"/>
              <w:rPr>
                <w:rFonts w:eastAsia="Times New Roman"/>
                <w:b/>
                <w:bCs/>
                <w:color w:val="000000"/>
                <w:sz w:val="18"/>
                <w:szCs w:val="18"/>
                <w:lang w:eastAsia="es-CO"/>
              </w:rPr>
            </w:pPr>
            <w:r w:rsidRPr="00E436EA">
              <w:rPr>
                <w:rFonts w:eastAsia="Times New Roman"/>
                <w:b/>
                <w:bCs/>
                <w:color w:val="000000"/>
                <w:sz w:val="18"/>
                <w:szCs w:val="18"/>
                <w:lang w:eastAsia="es-CO"/>
              </w:rPr>
              <w:t>Compensación del régimen natural de retención de sedimentos</w:t>
            </w:r>
          </w:p>
        </w:tc>
        <w:tc>
          <w:tcPr>
            <w:tcW w:w="845" w:type="pct"/>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Regulación hídrica</w:t>
            </w:r>
          </w:p>
        </w:tc>
        <w:tc>
          <w:tcPr>
            <w:tcW w:w="705" w:type="pct"/>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13.000 m</w:t>
            </w:r>
            <w:r w:rsidRPr="00E436EA">
              <w:rPr>
                <w:rFonts w:eastAsia="Times New Roman"/>
                <w:color w:val="000000"/>
                <w:sz w:val="18"/>
                <w:szCs w:val="18"/>
                <w:vertAlign w:val="superscript"/>
                <w:lang w:eastAsia="es-CO"/>
              </w:rPr>
              <w:t>3</w:t>
            </w:r>
            <w:r w:rsidRPr="00E436EA">
              <w:rPr>
                <w:rFonts w:eastAsia="Times New Roman"/>
                <w:color w:val="000000"/>
                <w:sz w:val="18"/>
                <w:szCs w:val="18"/>
                <w:lang w:eastAsia="es-CO"/>
              </w:rPr>
              <w:t>/ha-año *</w:t>
            </w:r>
          </w:p>
        </w:tc>
        <w:tc>
          <w:tcPr>
            <w:tcW w:w="852" w:type="pct"/>
            <w:noWrap/>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51.473</w:t>
            </w:r>
          </w:p>
        </w:tc>
        <w:tc>
          <w:tcPr>
            <w:tcW w:w="861" w:type="pct"/>
            <w:noWrap/>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51.473</w:t>
            </w:r>
          </w:p>
        </w:tc>
      </w:tr>
      <w:tr w:rsidR="00E436EA" w:rsidRPr="00E436EA" w:rsidTr="00E436EA">
        <w:trPr>
          <w:trHeight w:val="20"/>
        </w:trPr>
        <w:tc>
          <w:tcPr>
            <w:cnfStyle w:val="001000000000" w:firstRow="0" w:lastRow="0" w:firstColumn="1" w:lastColumn="0" w:oddVBand="0" w:evenVBand="0" w:oddHBand="0" w:evenHBand="0" w:firstRowFirstColumn="0" w:firstRowLastColumn="0" w:lastRowFirstColumn="0" w:lastRowLastColumn="0"/>
            <w:tcW w:w="1737" w:type="pct"/>
            <w:vMerge/>
            <w:tcBorders>
              <w:left w:val="none" w:sz="0" w:space="0" w:color="auto"/>
            </w:tcBorders>
            <w:vAlign w:val="center"/>
            <w:hideMark/>
          </w:tcPr>
          <w:p w:rsidR="00E436EA" w:rsidRPr="00E436EA" w:rsidRDefault="00E436EA" w:rsidP="00E436EA">
            <w:pPr>
              <w:spacing w:line="240" w:lineRule="auto"/>
              <w:contextualSpacing w:val="0"/>
              <w:jc w:val="center"/>
              <w:rPr>
                <w:rFonts w:eastAsia="Times New Roman"/>
                <w:b/>
                <w:bCs/>
                <w:color w:val="000000"/>
                <w:sz w:val="18"/>
                <w:szCs w:val="18"/>
                <w:lang w:eastAsia="es-CO"/>
              </w:rPr>
            </w:pPr>
          </w:p>
        </w:tc>
        <w:tc>
          <w:tcPr>
            <w:tcW w:w="1550" w:type="pct"/>
            <w:gridSpan w:val="2"/>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Valor m3($) **</w:t>
            </w:r>
          </w:p>
        </w:tc>
        <w:tc>
          <w:tcPr>
            <w:tcW w:w="852" w:type="pct"/>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200</w:t>
            </w:r>
          </w:p>
        </w:tc>
        <w:tc>
          <w:tcPr>
            <w:tcW w:w="861" w:type="pct"/>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200</w:t>
            </w:r>
          </w:p>
        </w:tc>
      </w:tr>
      <w:tr w:rsidR="00E436EA" w:rsidRPr="00E436EA" w:rsidTr="00E436EA">
        <w:trPr>
          <w:trHeight w:val="20"/>
        </w:trPr>
        <w:tc>
          <w:tcPr>
            <w:cnfStyle w:val="001000000000" w:firstRow="0" w:lastRow="0" w:firstColumn="1" w:lastColumn="0" w:oddVBand="0" w:evenVBand="0" w:oddHBand="0" w:evenHBand="0" w:firstRowFirstColumn="0" w:firstRowLastColumn="0" w:lastRowFirstColumn="0" w:lastRowLastColumn="0"/>
            <w:tcW w:w="1737" w:type="pct"/>
            <w:vMerge/>
            <w:tcBorders>
              <w:left w:val="none" w:sz="0" w:space="0" w:color="auto"/>
            </w:tcBorders>
            <w:vAlign w:val="center"/>
            <w:hideMark/>
          </w:tcPr>
          <w:p w:rsidR="00E436EA" w:rsidRPr="00E436EA" w:rsidRDefault="00E436EA" w:rsidP="00E436EA">
            <w:pPr>
              <w:spacing w:line="240" w:lineRule="auto"/>
              <w:contextualSpacing w:val="0"/>
              <w:jc w:val="center"/>
              <w:rPr>
                <w:rFonts w:eastAsia="Times New Roman"/>
                <w:b/>
                <w:bCs/>
                <w:color w:val="000000"/>
                <w:sz w:val="18"/>
                <w:szCs w:val="18"/>
                <w:lang w:eastAsia="es-CO"/>
              </w:rPr>
            </w:pPr>
          </w:p>
        </w:tc>
        <w:tc>
          <w:tcPr>
            <w:tcW w:w="1550" w:type="pct"/>
            <w:gridSpan w:val="2"/>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Valor anual Pesos ($)</w:t>
            </w:r>
          </w:p>
        </w:tc>
        <w:tc>
          <w:tcPr>
            <w:tcW w:w="852" w:type="pct"/>
            <w:noWrap/>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10.294.595</w:t>
            </w:r>
          </w:p>
        </w:tc>
        <w:tc>
          <w:tcPr>
            <w:tcW w:w="861" w:type="pct"/>
            <w:noWrap/>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10.294.595</w:t>
            </w:r>
          </w:p>
        </w:tc>
      </w:tr>
      <w:tr w:rsidR="00E436EA" w:rsidRPr="00E436EA" w:rsidTr="00E436EA">
        <w:trPr>
          <w:trHeight w:val="20"/>
        </w:trPr>
        <w:tc>
          <w:tcPr>
            <w:cnfStyle w:val="001000000000" w:firstRow="0" w:lastRow="0" w:firstColumn="1" w:lastColumn="0" w:oddVBand="0" w:evenVBand="0" w:oddHBand="0" w:evenHBand="0" w:firstRowFirstColumn="0" w:firstRowLastColumn="0" w:lastRowFirstColumn="0" w:lastRowLastColumn="0"/>
            <w:tcW w:w="1737" w:type="pct"/>
            <w:vMerge/>
            <w:tcBorders>
              <w:left w:val="none" w:sz="0" w:space="0" w:color="auto"/>
            </w:tcBorders>
            <w:vAlign w:val="center"/>
            <w:hideMark/>
          </w:tcPr>
          <w:p w:rsidR="00E436EA" w:rsidRPr="00E436EA" w:rsidRDefault="00E436EA" w:rsidP="00E436EA">
            <w:pPr>
              <w:spacing w:line="240" w:lineRule="auto"/>
              <w:contextualSpacing w:val="0"/>
              <w:jc w:val="center"/>
              <w:rPr>
                <w:rFonts w:eastAsia="Times New Roman"/>
                <w:b/>
                <w:bCs/>
                <w:color w:val="000000"/>
                <w:sz w:val="18"/>
                <w:szCs w:val="18"/>
                <w:lang w:eastAsia="es-CO"/>
              </w:rPr>
            </w:pPr>
          </w:p>
        </w:tc>
        <w:tc>
          <w:tcPr>
            <w:tcW w:w="1550" w:type="pct"/>
            <w:gridSpan w:val="2"/>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Años establecimiento***</w:t>
            </w:r>
          </w:p>
        </w:tc>
        <w:tc>
          <w:tcPr>
            <w:tcW w:w="852" w:type="pct"/>
            <w:noWrap/>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5</w:t>
            </w:r>
          </w:p>
        </w:tc>
        <w:tc>
          <w:tcPr>
            <w:tcW w:w="861" w:type="pct"/>
            <w:noWrap/>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5</w:t>
            </w:r>
          </w:p>
        </w:tc>
      </w:tr>
      <w:tr w:rsidR="00E436EA" w:rsidRPr="00E436EA" w:rsidTr="00E436EA">
        <w:trPr>
          <w:trHeight w:val="20"/>
        </w:trPr>
        <w:tc>
          <w:tcPr>
            <w:cnfStyle w:val="001000000000" w:firstRow="0" w:lastRow="0" w:firstColumn="1" w:lastColumn="0" w:oddVBand="0" w:evenVBand="0" w:oddHBand="0" w:evenHBand="0" w:firstRowFirstColumn="0" w:firstRowLastColumn="0" w:lastRowFirstColumn="0" w:lastRowLastColumn="0"/>
            <w:tcW w:w="1737" w:type="pct"/>
            <w:vMerge/>
            <w:tcBorders>
              <w:left w:val="none" w:sz="0" w:space="0" w:color="auto"/>
            </w:tcBorders>
            <w:vAlign w:val="center"/>
            <w:hideMark/>
          </w:tcPr>
          <w:p w:rsidR="00E436EA" w:rsidRPr="00E436EA" w:rsidRDefault="00E436EA" w:rsidP="00E436EA">
            <w:pPr>
              <w:spacing w:line="240" w:lineRule="auto"/>
              <w:contextualSpacing w:val="0"/>
              <w:jc w:val="center"/>
              <w:rPr>
                <w:rFonts w:eastAsia="Times New Roman"/>
                <w:b/>
                <w:bCs/>
                <w:color w:val="000000"/>
                <w:sz w:val="18"/>
                <w:szCs w:val="18"/>
                <w:lang w:eastAsia="es-CO"/>
              </w:rPr>
            </w:pPr>
          </w:p>
        </w:tc>
        <w:tc>
          <w:tcPr>
            <w:tcW w:w="1550" w:type="pct"/>
            <w:gridSpan w:val="2"/>
            <w:shd w:val="clear" w:color="auto" w:fill="F2F2F2" w:themeFill="background1" w:themeFillShade="F2"/>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E436EA">
              <w:rPr>
                <w:rFonts w:eastAsia="Times New Roman"/>
                <w:b/>
                <w:bCs/>
                <w:color w:val="000000"/>
                <w:sz w:val="18"/>
                <w:szCs w:val="18"/>
                <w:lang w:eastAsia="es-CO"/>
              </w:rPr>
              <w:t>Valor Total Pesos ($)</w:t>
            </w:r>
          </w:p>
        </w:tc>
        <w:tc>
          <w:tcPr>
            <w:tcW w:w="852" w:type="pct"/>
            <w:shd w:val="clear" w:color="auto" w:fill="F2F2F2" w:themeFill="background1" w:themeFillShade="F2"/>
            <w:noWrap/>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E436EA">
              <w:rPr>
                <w:rFonts w:eastAsia="Times New Roman"/>
                <w:b/>
                <w:bCs/>
                <w:color w:val="000000"/>
                <w:sz w:val="18"/>
                <w:szCs w:val="18"/>
                <w:lang w:eastAsia="es-CO"/>
              </w:rPr>
              <w:t>51.472.973</w:t>
            </w:r>
          </w:p>
        </w:tc>
        <w:tc>
          <w:tcPr>
            <w:tcW w:w="861" w:type="pct"/>
            <w:shd w:val="clear" w:color="auto" w:fill="F2F2F2" w:themeFill="background1" w:themeFillShade="F2"/>
            <w:noWrap/>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E436EA">
              <w:rPr>
                <w:rFonts w:eastAsia="Times New Roman"/>
                <w:b/>
                <w:bCs/>
                <w:color w:val="000000"/>
                <w:sz w:val="18"/>
                <w:szCs w:val="18"/>
                <w:lang w:eastAsia="es-CO"/>
              </w:rPr>
              <w:t>51.472.973</w:t>
            </w:r>
          </w:p>
        </w:tc>
      </w:tr>
      <w:tr w:rsidR="00E436EA" w:rsidRPr="00E436EA" w:rsidTr="00E436EA">
        <w:trPr>
          <w:trHeight w:val="20"/>
        </w:trPr>
        <w:tc>
          <w:tcPr>
            <w:cnfStyle w:val="001000000000" w:firstRow="0" w:lastRow="0" w:firstColumn="1" w:lastColumn="0" w:oddVBand="0" w:evenVBand="0" w:oddHBand="0" w:evenHBand="0" w:firstRowFirstColumn="0" w:firstRowLastColumn="0" w:lastRowFirstColumn="0" w:lastRowLastColumn="0"/>
            <w:tcW w:w="1737" w:type="pct"/>
            <w:vMerge/>
            <w:tcBorders>
              <w:left w:val="none" w:sz="0" w:space="0" w:color="auto"/>
            </w:tcBorders>
            <w:vAlign w:val="center"/>
            <w:hideMark/>
          </w:tcPr>
          <w:p w:rsidR="00E436EA" w:rsidRPr="00E436EA" w:rsidRDefault="00E436EA" w:rsidP="00E436EA">
            <w:pPr>
              <w:spacing w:line="240" w:lineRule="auto"/>
              <w:contextualSpacing w:val="0"/>
              <w:jc w:val="center"/>
              <w:rPr>
                <w:rFonts w:eastAsia="Times New Roman"/>
                <w:b/>
                <w:bCs/>
                <w:color w:val="000000"/>
                <w:sz w:val="18"/>
                <w:szCs w:val="18"/>
                <w:lang w:eastAsia="es-CO"/>
              </w:rPr>
            </w:pPr>
          </w:p>
        </w:tc>
        <w:tc>
          <w:tcPr>
            <w:tcW w:w="1550" w:type="pct"/>
            <w:gridSpan w:val="2"/>
            <w:noWrap/>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Valor Presente Neto ($)</w:t>
            </w:r>
          </w:p>
        </w:tc>
        <w:tc>
          <w:tcPr>
            <w:tcW w:w="852" w:type="pct"/>
            <w:noWrap/>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45.958.012</w:t>
            </w:r>
          </w:p>
        </w:tc>
        <w:tc>
          <w:tcPr>
            <w:tcW w:w="861" w:type="pct"/>
            <w:noWrap/>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45.958.012</w:t>
            </w:r>
          </w:p>
        </w:tc>
      </w:tr>
    </w:tbl>
    <w:p w:rsidR="00ED7FA9" w:rsidRPr="00AA0A2C" w:rsidRDefault="00ED7FA9" w:rsidP="00ED7FA9">
      <w:pPr>
        <w:pStyle w:val="Notas"/>
        <w:rPr>
          <w:rFonts w:asciiTheme="majorHAnsi" w:hAnsiTheme="majorHAnsi"/>
        </w:rPr>
      </w:pPr>
      <w:r w:rsidRPr="00AA0A2C">
        <w:rPr>
          <w:rFonts w:asciiTheme="majorHAnsi" w:hAnsiTheme="majorHAnsi"/>
        </w:rPr>
        <w:t>Fuente: Autopista Rio Magdalena S.A.S., 2016.</w:t>
      </w:r>
    </w:p>
    <w:p w:rsidR="00ED7FA9" w:rsidRPr="00370CFB" w:rsidRDefault="00ED7FA9" w:rsidP="00ED7FA9">
      <w:pPr>
        <w:rPr>
          <w:rFonts w:asciiTheme="majorHAnsi" w:hAnsiTheme="majorHAnsi"/>
          <w:sz w:val="18"/>
          <w:szCs w:val="18"/>
        </w:rPr>
      </w:pPr>
      <w:r w:rsidRPr="00370CFB">
        <w:rPr>
          <w:rFonts w:asciiTheme="majorHAnsi" w:hAnsiTheme="majorHAnsi"/>
          <w:sz w:val="18"/>
          <w:szCs w:val="18"/>
        </w:rPr>
        <w:t>*: Equivale al valor medio de la precipitación promedio de la zona. Ya que una vez establecido el volumen de agua aportado al suelo en el ítem de regulación hídrica, se estima que el valor retenido en el sedimento llega a ser del 50% del volumen total, ya que por la escorrentía y evaporación se pierde una fracción del volumen que genera la precipitación por lo tanto se estima este valor para el cálculo de la regulación por retención de sedimentos.</w:t>
      </w:r>
      <w:r w:rsidRPr="00370CFB">
        <w:rPr>
          <w:rFonts w:asciiTheme="majorHAnsi" w:hAnsiTheme="majorHAnsi"/>
          <w:sz w:val="18"/>
          <w:szCs w:val="18"/>
        </w:rPr>
        <w:tab/>
      </w:r>
      <w:r w:rsidRPr="00370CFB">
        <w:rPr>
          <w:rFonts w:asciiTheme="majorHAnsi" w:hAnsiTheme="majorHAnsi"/>
          <w:sz w:val="18"/>
          <w:szCs w:val="18"/>
        </w:rPr>
        <w:tab/>
      </w:r>
      <w:r w:rsidRPr="00370CFB">
        <w:rPr>
          <w:rFonts w:asciiTheme="majorHAnsi" w:hAnsiTheme="majorHAnsi"/>
          <w:sz w:val="18"/>
          <w:szCs w:val="18"/>
        </w:rPr>
        <w:tab/>
      </w:r>
      <w:r w:rsidRPr="00370CFB">
        <w:rPr>
          <w:rFonts w:asciiTheme="majorHAnsi" w:hAnsiTheme="majorHAnsi"/>
          <w:sz w:val="18"/>
          <w:szCs w:val="18"/>
        </w:rPr>
        <w:tab/>
      </w:r>
    </w:p>
    <w:p w:rsidR="00ED7FA9" w:rsidRPr="00370CFB" w:rsidRDefault="00ED7FA9" w:rsidP="00ED7FA9">
      <w:pPr>
        <w:rPr>
          <w:rFonts w:asciiTheme="majorHAnsi" w:hAnsiTheme="majorHAnsi"/>
          <w:sz w:val="18"/>
          <w:szCs w:val="18"/>
        </w:rPr>
      </w:pPr>
      <w:r w:rsidRPr="00370CFB">
        <w:rPr>
          <w:rFonts w:asciiTheme="majorHAnsi" w:hAnsiTheme="majorHAnsi"/>
          <w:sz w:val="18"/>
          <w:szCs w:val="18"/>
        </w:rPr>
        <w:t>**: El valor del tratamiento por turbidez del agua es de $200/m3, este valor se obtiene de consultas a firmas que hacen tratamientos de agua y el dato final lo suministró el Doctor Joaquín Fonseca, Ingeniero Químico de la Universidad Nacional, Master en Ingeniería Sanitaria de la misma Universidad y con más de 30 años de experiencia en temas de aguas residuales.</w:t>
      </w:r>
      <w:r w:rsidRPr="00370CFB">
        <w:rPr>
          <w:rFonts w:asciiTheme="majorHAnsi" w:hAnsiTheme="majorHAnsi"/>
          <w:sz w:val="18"/>
          <w:szCs w:val="18"/>
        </w:rPr>
        <w:tab/>
      </w:r>
      <w:r w:rsidRPr="00370CFB">
        <w:rPr>
          <w:rFonts w:asciiTheme="majorHAnsi" w:hAnsiTheme="majorHAnsi"/>
          <w:sz w:val="18"/>
          <w:szCs w:val="18"/>
        </w:rPr>
        <w:tab/>
      </w:r>
      <w:r w:rsidRPr="00370CFB">
        <w:rPr>
          <w:rFonts w:asciiTheme="majorHAnsi" w:hAnsiTheme="majorHAnsi"/>
          <w:sz w:val="18"/>
          <w:szCs w:val="18"/>
        </w:rPr>
        <w:tab/>
      </w:r>
      <w:r w:rsidRPr="00370CFB">
        <w:rPr>
          <w:rFonts w:asciiTheme="majorHAnsi" w:hAnsiTheme="majorHAnsi"/>
          <w:sz w:val="18"/>
          <w:szCs w:val="18"/>
        </w:rPr>
        <w:tab/>
      </w:r>
    </w:p>
    <w:p w:rsidR="00ED7FA9" w:rsidRDefault="00ED7FA9" w:rsidP="00ED7FA9">
      <w:pPr>
        <w:rPr>
          <w:rFonts w:asciiTheme="majorHAnsi" w:hAnsiTheme="majorHAnsi"/>
          <w:sz w:val="18"/>
          <w:szCs w:val="18"/>
        </w:rPr>
      </w:pPr>
      <w:r w:rsidRPr="00370CFB">
        <w:rPr>
          <w:rFonts w:asciiTheme="majorHAnsi" w:hAnsiTheme="majorHAnsi"/>
          <w:sz w:val="18"/>
          <w:szCs w:val="18"/>
        </w:rPr>
        <w:t>***: Se considera un periodo de cinco años en los que no habrá ganancias de captura de CO2, un primer año durante la tala y la plantación y cuatro años que tarda en recuperarse el bosque según Marwin Melga, 2006</w:t>
      </w:r>
      <w:r>
        <w:rPr>
          <w:rFonts w:asciiTheme="majorHAnsi" w:hAnsiTheme="majorHAnsi"/>
          <w:sz w:val="18"/>
          <w:szCs w:val="18"/>
        </w:rPr>
        <w:t>.</w:t>
      </w:r>
    </w:p>
    <w:p w:rsidR="00ED7FA9" w:rsidRDefault="00ED7FA9" w:rsidP="00ED7FA9">
      <w:pPr>
        <w:rPr>
          <w:rFonts w:asciiTheme="majorHAnsi" w:hAnsiTheme="majorHAnsi" w:cs="Arial"/>
        </w:rPr>
      </w:pPr>
    </w:p>
    <w:p w:rsidR="00ED7FA9" w:rsidRDefault="00ED7FA9" w:rsidP="00ED7FA9">
      <w:pPr>
        <w:pStyle w:val="Tablas"/>
        <w:rPr>
          <w:rFonts w:asciiTheme="majorHAnsi" w:hAnsiTheme="majorHAnsi"/>
        </w:rPr>
      </w:pPr>
      <w:r>
        <w:t xml:space="preserve">Tabla </w:t>
      </w:r>
      <w:r w:rsidR="006D0D6E">
        <w:fldChar w:fldCharType="begin"/>
      </w:r>
      <w:r w:rsidR="006D0D6E">
        <w:instrText xml:space="preserve"> STYLEREF 1 \s </w:instrText>
      </w:r>
      <w:r w:rsidR="006D0D6E">
        <w:fldChar w:fldCharType="separate"/>
      </w:r>
      <w:r w:rsidR="006D0D6E">
        <w:rPr>
          <w:noProof/>
        </w:rPr>
        <w:t>10</w:t>
      </w:r>
      <w:r w:rsidR="006D0D6E">
        <w:fldChar w:fldCharType="end"/>
      </w:r>
      <w:r w:rsidR="006D0D6E">
        <w:t>.</w:t>
      </w:r>
      <w:r w:rsidR="006D0D6E">
        <w:fldChar w:fldCharType="begin"/>
      </w:r>
      <w:r w:rsidR="006D0D6E">
        <w:instrText xml:space="preserve"> SEQ Tabla \* ARABIC \s 1 </w:instrText>
      </w:r>
      <w:r w:rsidR="006D0D6E">
        <w:fldChar w:fldCharType="separate"/>
      </w:r>
      <w:r w:rsidR="006D0D6E">
        <w:rPr>
          <w:noProof/>
        </w:rPr>
        <w:t>22</w:t>
      </w:r>
      <w:r w:rsidR="006D0D6E">
        <w:fldChar w:fldCharType="end"/>
      </w:r>
      <w:r>
        <w:t xml:space="preserve"> </w:t>
      </w:r>
      <w:r w:rsidRPr="00ED7FA9">
        <w:rPr>
          <w:rFonts w:asciiTheme="majorHAnsi" w:hAnsiTheme="majorHAnsi"/>
        </w:rPr>
        <w:t>Compensación en la capacidad de Captura de CO2</w:t>
      </w:r>
    </w:p>
    <w:tbl>
      <w:tblPr>
        <w:tblStyle w:val="Gminis"/>
        <w:tblW w:w="5000" w:type="pct"/>
        <w:tblLook w:val="04A0" w:firstRow="1" w:lastRow="0" w:firstColumn="1" w:lastColumn="0" w:noHBand="0" w:noVBand="1"/>
      </w:tblPr>
      <w:tblGrid>
        <w:gridCol w:w="2834"/>
        <w:gridCol w:w="1455"/>
        <w:gridCol w:w="1408"/>
        <w:gridCol w:w="1282"/>
        <w:gridCol w:w="1282"/>
      </w:tblGrid>
      <w:tr w:rsidR="00E436EA" w:rsidRPr="00E436EA" w:rsidTr="00635034">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gridSpan w:val="5"/>
            <w:tcBorders>
              <w:top w:val="none" w:sz="0" w:space="0" w:color="auto"/>
              <w:left w:val="none" w:sz="0" w:space="0" w:color="auto"/>
              <w:bottom w:val="none" w:sz="0" w:space="0" w:color="auto"/>
              <w:right w:val="none" w:sz="0" w:space="0" w:color="auto"/>
            </w:tcBorders>
            <w:noWrap/>
            <w:vAlign w:val="center"/>
            <w:hideMark/>
          </w:tcPr>
          <w:p w:rsidR="00E436EA" w:rsidRPr="00E436EA" w:rsidRDefault="00E436EA" w:rsidP="00E436EA">
            <w:pPr>
              <w:spacing w:line="240" w:lineRule="auto"/>
              <w:contextualSpacing w:val="0"/>
              <w:jc w:val="center"/>
              <w:rPr>
                <w:rFonts w:eastAsia="Times New Roman"/>
                <w:b w:val="0"/>
                <w:bCs/>
                <w:color w:val="000000"/>
                <w:sz w:val="18"/>
                <w:szCs w:val="18"/>
                <w:lang w:eastAsia="es-CO"/>
              </w:rPr>
            </w:pPr>
            <w:r w:rsidRPr="00E436EA">
              <w:rPr>
                <w:rFonts w:eastAsia="Times New Roman"/>
                <w:bCs/>
                <w:color w:val="000000"/>
                <w:sz w:val="18"/>
                <w:szCs w:val="18"/>
                <w:lang w:eastAsia="es-CO"/>
              </w:rPr>
              <w:t>COMPENSACIÓN EN LA CAPACIDAD DE CAPTURA DE CO2 POR COMPENSACIÓN FORESTAL</w:t>
            </w:r>
          </w:p>
        </w:tc>
      </w:tr>
      <w:tr w:rsidR="004B49C5" w:rsidRPr="00E436EA" w:rsidTr="00E436EA">
        <w:trPr>
          <w:trHeight w:val="20"/>
        </w:trPr>
        <w:tc>
          <w:tcPr>
            <w:cnfStyle w:val="001000000000" w:firstRow="0" w:lastRow="0" w:firstColumn="1" w:lastColumn="0" w:oddVBand="0" w:evenVBand="0" w:oddHBand="0" w:evenHBand="0" w:firstRowFirstColumn="0" w:firstRowLastColumn="0" w:lastRowFirstColumn="0" w:lastRowLastColumn="0"/>
            <w:tcW w:w="1730" w:type="pct"/>
            <w:vMerge w:val="restart"/>
            <w:tcBorders>
              <w:left w:val="none" w:sz="0" w:space="0" w:color="auto"/>
            </w:tcBorders>
            <w:vAlign w:val="center"/>
            <w:hideMark/>
          </w:tcPr>
          <w:p w:rsidR="00E436EA" w:rsidRPr="00E436EA" w:rsidRDefault="00E436EA" w:rsidP="00E436EA">
            <w:pPr>
              <w:spacing w:line="240" w:lineRule="auto"/>
              <w:contextualSpacing w:val="0"/>
              <w:jc w:val="center"/>
              <w:rPr>
                <w:rFonts w:eastAsia="Times New Roman"/>
                <w:b/>
                <w:bCs/>
                <w:color w:val="000000"/>
                <w:sz w:val="18"/>
                <w:szCs w:val="18"/>
                <w:lang w:eastAsia="es-CO"/>
              </w:rPr>
            </w:pPr>
            <w:r w:rsidRPr="00E436EA">
              <w:rPr>
                <w:rFonts w:eastAsia="Times New Roman"/>
                <w:b/>
                <w:bCs/>
                <w:color w:val="000000"/>
                <w:sz w:val="18"/>
                <w:szCs w:val="18"/>
                <w:lang w:eastAsia="es-CO"/>
              </w:rPr>
              <w:t>Componente biótico</w:t>
            </w:r>
          </w:p>
        </w:tc>
        <w:tc>
          <w:tcPr>
            <w:tcW w:w="1689" w:type="pct"/>
            <w:gridSpan w:val="2"/>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E436EA">
              <w:rPr>
                <w:rFonts w:eastAsia="Times New Roman"/>
                <w:b/>
                <w:bCs/>
                <w:color w:val="000000"/>
                <w:sz w:val="18"/>
                <w:szCs w:val="18"/>
                <w:lang w:eastAsia="es-CO"/>
              </w:rPr>
              <w:t>Cobertura vegetal</w:t>
            </w:r>
          </w:p>
        </w:tc>
        <w:tc>
          <w:tcPr>
            <w:tcW w:w="790" w:type="pct"/>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E436EA">
              <w:rPr>
                <w:rFonts w:eastAsia="Times New Roman"/>
                <w:b/>
                <w:bCs/>
                <w:color w:val="000000"/>
                <w:sz w:val="18"/>
                <w:szCs w:val="18"/>
                <w:lang w:eastAsia="es-CO"/>
              </w:rPr>
              <w:t>Ha a compensar</w:t>
            </w:r>
          </w:p>
        </w:tc>
        <w:tc>
          <w:tcPr>
            <w:tcW w:w="790" w:type="pct"/>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E436EA">
              <w:rPr>
                <w:rFonts w:eastAsia="Times New Roman"/>
                <w:b/>
                <w:bCs/>
                <w:color w:val="000000"/>
                <w:sz w:val="18"/>
                <w:szCs w:val="18"/>
                <w:lang w:eastAsia="es-CO"/>
              </w:rPr>
              <w:t>VALOR TOTAL ($)</w:t>
            </w:r>
          </w:p>
        </w:tc>
      </w:tr>
      <w:tr w:rsidR="00E436EA" w:rsidRPr="00E436EA" w:rsidTr="00635034">
        <w:trPr>
          <w:trHeight w:val="20"/>
        </w:trPr>
        <w:tc>
          <w:tcPr>
            <w:cnfStyle w:val="001000000000" w:firstRow="0" w:lastRow="0" w:firstColumn="1" w:lastColumn="0" w:oddVBand="0" w:evenVBand="0" w:oddHBand="0" w:evenHBand="0" w:firstRowFirstColumn="0" w:firstRowLastColumn="0" w:lastRowFirstColumn="0" w:lastRowLastColumn="0"/>
            <w:tcW w:w="1730" w:type="pct"/>
            <w:vMerge/>
            <w:tcBorders>
              <w:left w:val="none" w:sz="0" w:space="0" w:color="auto"/>
            </w:tcBorders>
            <w:vAlign w:val="center"/>
            <w:hideMark/>
          </w:tcPr>
          <w:p w:rsidR="00E436EA" w:rsidRPr="00E436EA" w:rsidRDefault="00E436EA" w:rsidP="00E436EA">
            <w:pPr>
              <w:spacing w:line="240" w:lineRule="auto"/>
              <w:contextualSpacing w:val="0"/>
              <w:jc w:val="center"/>
              <w:rPr>
                <w:rFonts w:eastAsia="Times New Roman"/>
                <w:b/>
                <w:bCs/>
                <w:color w:val="000000"/>
                <w:sz w:val="18"/>
                <w:szCs w:val="18"/>
                <w:lang w:eastAsia="es-CO"/>
              </w:rPr>
            </w:pPr>
          </w:p>
        </w:tc>
        <w:tc>
          <w:tcPr>
            <w:tcW w:w="1689" w:type="pct"/>
            <w:gridSpan w:val="2"/>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E436EA">
              <w:rPr>
                <w:rFonts w:eastAsia="Times New Roman"/>
                <w:b/>
                <w:bCs/>
                <w:color w:val="000000"/>
                <w:sz w:val="18"/>
                <w:szCs w:val="18"/>
                <w:lang w:eastAsia="es-CO"/>
              </w:rPr>
              <w:t>Nº Hectáreas</w:t>
            </w:r>
          </w:p>
        </w:tc>
        <w:tc>
          <w:tcPr>
            <w:tcW w:w="790" w:type="pct"/>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3,96</w:t>
            </w:r>
          </w:p>
        </w:tc>
        <w:tc>
          <w:tcPr>
            <w:tcW w:w="790" w:type="pct"/>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3,959</w:t>
            </w:r>
          </w:p>
        </w:tc>
      </w:tr>
      <w:tr w:rsidR="00E436EA" w:rsidRPr="00E436EA" w:rsidTr="00635034">
        <w:trPr>
          <w:trHeight w:val="20"/>
        </w:trPr>
        <w:tc>
          <w:tcPr>
            <w:cnfStyle w:val="001000000000" w:firstRow="0" w:lastRow="0" w:firstColumn="1" w:lastColumn="0" w:oddVBand="0" w:evenVBand="0" w:oddHBand="0" w:evenHBand="0" w:firstRowFirstColumn="0" w:firstRowLastColumn="0" w:lastRowFirstColumn="0" w:lastRowLastColumn="0"/>
            <w:tcW w:w="1730" w:type="pct"/>
            <w:vMerge w:val="restart"/>
            <w:tcBorders>
              <w:left w:val="none" w:sz="0" w:space="0" w:color="auto"/>
            </w:tcBorders>
            <w:vAlign w:val="center"/>
            <w:hideMark/>
          </w:tcPr>
          <w:p w:rsidR="00E436EA" w:rsidRPr="00E436EA" w:rsidRDefault="00E436EA" w:rsidP="00E436EA">
            <w:pPr>
              <w:spacing w:line="240" w:lineRule="auto"/>
              <w:contextualSpacing w:val="0"/>
              <w:jc w:val="center"/>
              <w:rPr>
                <w:rFonts w:eastAsia="Times New Roman"/>
                <w:b/>
                <w:bCs/>
                <w:color w:val="000000"/>
                <w:sz w:val="18"/>
                <w:szCs w:val="18"/>
                <w:lang w:eastAsia="es-CO"/>
              </w:rPr>
            </w:pPr>
            <w:r w:rsidRPr="00E436EA">
              <w:rPr>
                <w:rFonts w:eastAsia="Times New Roman"/>
                <w:b/>
                <w:bCs/>
                <w:color w:val="000000"/>
                <w:sz w:val="18"/>
                <w:szCs w:val="18"/>
                <w:lang w:eastAsia="es-CO"/>
              </w:rPr>
              <w:t>Compensación de la capacidad de captura de CO</w:t>
            </w:r>
            <w:r w:rsidRPr="00E436EA">
              <w:rPr>
                <w:rFonts w:eastAsia="Times New Roman"/>
                <w:b/>
                <w:bCs/>
                <w:color w:val="000000"/>
                <w:sz w:val="18"/>
                <w:szCs w:val="18"/>
                <w:vertAlign w:val="subscript"/>
                <w:lang w:eastAsia="es-CO"/>
              </w:rPr>
              <w:t>2</w:t>
            </w:r>
          </w:p>
        </w:tc>
        <w:tc>
          <w:tcPr>
            <w:tcW w:w="823" w:type="pct"/>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Captura de CO</w:t>
            </w:r>
            <w:r w:rsidRPr="00E436EA">
              <w:rPr>
                <w:rFonts w:eastAsia="Times New Roman"/>
                <w:color w:val="000000"/>
                <w:sz w:val="18"/>
                <w:szCs w:val="18"/>
                <w:vertAlign w:val="subscript"/>
                <w:lang w:eastAsia="es-CO"/>
              </w:rPr>
              <w:t>2</w:t>
            </w:r>
          </w:p>
        </w:tc>
        <w:tc>
          <w:tcPr>
            <w:tcW w:w="867" w:type="pct"/>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E436EA">
              <w:rPr>
                <w:rFonts w:eastAsia="Times New Roman"/>
                <w:sz w:val="18"/>
                <w:szCs w:val="18"/>
                <w:lang w:eastAsia="es-CO"/>
              </w:rPr>
              <w:t>5,21 Ton/Ha/año*</w:t>
            </w:r>
          </w:p>
        </w:tc>
        <w:tc>
          <w:tcPr>
            <w:tcW w:w="790" w:type="pct"/>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E436EA">
              <w:rPr>
                <w:rFonts w:eastAsia="Times New Roman"/>
                <w:sz w:val="18"/>
                <w:szCs w:val="18"/>
                <w:lang w:eastAsia="es-CO"/>
              </w:rPr>
              <w:t>20,63</w:t>
            </w:r>
          </w:p>
        </w:tc>
        <w:tc>
          <w:tcPr>
            <w:tcW w:w="790" w:type="pct"/>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E436EA">
              <w:rPr>
                <w:rFonts w:eastAsia="Times New Roman"/>
                <w:sz w:val="18"/>
                <w:szCs w:val="18"/>
                <w:lang w:eastAsia="es-CO"/>
              </w:rPr>
              <w:t>20,63</w:t>
            </w:r>
          </w:p>
        </w:tc>
      </w:tr>
      <w:tr w:rsidR="00E436EA" w:rsidRPr="00E436EA" w:rsidTr="00635034">
        <w:trPr>
          <w:trHeight w:val="20"/>
        </w:trPr>
        <w:tc>
          <w:tcPr>
            <w:cnfStyle w:val="001000000000" w:firstRow="0" w:lastRow="0" w:firstColumn="1" w:lastColumn="0" w:oddVBand="0" w:evenVBand="0" w:oddHBand="0" w:evenHBand="0" w:firstRowFirstColumn="0" w:firstRowLastColumn="0" w:lastRowFirstColumn="0" w:lastRowLastColumn="0"/>
            <w:tcW w:w="1730" w:type="pct"/>
            <w:vMerge/>
            <w:tcBorders>
              <w:left w:val="none" w:sz="0" w:space="0" w:color="auto"/>
            </w:tcBorders>
            <w:vAlign w:val="center"/>
            <w:hideMark/>
          </w:tcPr>
          <w:p w:rsidR="00E436EA" w:rsidRPr="00E436EA" w:rsidRDefault="00E436EA" w:rsidP="00E436EA">
            <w:pPr>
              <w:spacing w:line="240" w:lineRule="auto"/>
              <w:contextualSpacing w:val="0"/>
              <w:jc w:val="center"/>
              <w:rPr>
                <w:rFonts w:eastAsia="Times New Roman"/>
                <w:b/>
                <w:bCs/>
                <w:color w:val="000000"/>
                <w:sz w:val="18"/>
                <w:szCs w:val="18"/>
                <w:lang w:eastAsia="es-CO"/>
              </w:rPr>
            </w:pPr>
          </w:p>
        </w:tc>
        <w:tc>
          <w:tcPr>
            <w:tcW w:w="823" w:type="pct"/>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Valor/Tonelada</w:t>
            </w:r>
          </w:p>
        </w:tc>
        <w:tc>
          <w:tcPr>
            <w:tcW w:w="867" w:type="pct"/>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US$10/Ton**</w:t>
            </w:r>
          </w:p>
        </w:tc>
        <w:tc>
          <w:tcPr>
            <w:tcW w:w="790" w:type="pct"/>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206,29</w:t>
            </w:r>
          </w:p>
        </w:tc>
        <w:tc>
          <w:tcPr>
            <w:tcW w:w="790" w:type="pct"/>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206,29</w:t>
            </w:r>
          </w:p>
        </w:tc>
      </w:tr>
      <w:tr w:rsidR="00E436EA" w:rsidRPr="00E436EA" w:rsidTr="00635034">
        <w:trPr>
          <w:trHeight w:val="20"/>
        </w:trPr>
        <w:tc>
          <w:tcPr>
            <w:cnfStyle w:val="001000000000" w:firstRow="0" w:lastRow="0" w:firstColumn="1" w:lastColumn="0" w:oddVBand="0" w:evenVBand="0" w:oddHBand="0" w:evenHBand="0" w:firstRowFirstColumn="0" w:firstRowLastColumn="0" w:lastRowFirstColumn="0" w:lastRowLastColumn="0"/>
            <w:tcW w:w="1730" w:type="pct"/>
            <w:vMerge/>
            <w:tcBorders>
              <w:left w:val="none" w:sz="0" w:space="0" w:color="auto"/>
            </w:tcBorders>
            <w:vAlign w:val="center"/>
            <w:hideMark/>
          </w:tcPr>
          <w:p w:rsidR="00E436EA" w:rsidRPr="00E436EA" w:rsidRDefault="00E436EA" w:rsidP="00E436EA">
            <w:pPr>
              <w:spacing w:line="240" w:lineRule="auto"/>
              <w:contextualSpacing w:val="0"/>
              <w:jc w:val="center"/>
              <w:rPr>
                <w:rFonts w:eastAsia="Times New Roman"/>
                <w:b/>
                <w:bCs/>
                <w:color w:val="000000"/>
                <w:sz w:val="18"/>
                <w:szCs w:val="18"/>
                <w:lang w:eastAsia="es-CO"/>
              </w:rPr>
            </w:pPr>
          </w:p>
        </w:tc>
        <w:tc>
          <w:tcPr>
            <w:tcW w:w="1689" w:type="pct"/>
            <w:gridSpan w:val="2"/>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Valor anual PESOS ($)</w:t>
            </w:r>
          </w:p>
        </w:tc>
        <w:tc>
          <w:tcPr>
            <w:tcW w:w="790" w:type="pct"/>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669.239</w:t>
            </w:r>
          </w:p>
        </w:tc>
        <w:tc>
          <w:tcPr>
            <w:tcW w:w="790" w:type="pct"/>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669.239</w:t>
            </w:r>
          </w:p>
        </w:tc>
      </w:tr>
      <w:tr w:rsidR="00E436EA" w:rsidRPr="00E436EA" w:rsidTr="00635034">
        <w:trPr>
          <w:trHeight w:val="20"/>
        </w:trPr>
        <w:tc>
          <w:tcPr>
            <w:cnfStyle w:val="001000000000" w:firstRow="0" w:lastRow="0" w:firstColumn="1" w:lastColumn="0" w:oddVBand="0" w:evenVBand="0" w:oddHBand="0" w:evenHBand="0" w:firstRowFirstColumn="0" w:firstRowLastColumn="0" w:lastRowFirstColumn="0" w:lastRowLastColumn="0"/>
            <w:tcW w:w="1730" w:type="pct"/>
            <w:vMerge/>
            <w:tcBorders>
              <w:left w:val="none" w:sz="0" w:space="0" w:color="auto"/>
            </w:tcBorders>
            <w:vAlign w:val="center"/>
            <w:hideMark/>
          </w:tcPr>
          <w:p w:rsidR="00E436EA" w:rsidRPr="00E436EA" w:rsidRDefault="00E436EA" w:rsidP="00E436EA">
            <w:pPr>
              <w:spacing w:line="240" w:lineRule="auto"/>
              <w:contextualSpacing w:val="0"/>
              <w:jc w:val="center"/>
              <w:rPr>
                <w:rFonts w:eastAsia="Times New Roman"/>
                <w:b/>
                <w:bCs/>
                <w:color w:val="000000"/>
                <w:sz w:val="18"/>
                <w:szCs w:val="18"/>
                <w:lang w:eastAsia="es-CO"/>
              </w:rPr>
            </w:pPr>
          </w:p>
        </w:tc>
        <w:tc>
          <w:tcPr>
            <w:tcW w:w="1689" w:type="pct"/>
            <w:gridSpan w:val="2"/>
            <w:noWrap/>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Años establecimiento***</w:t>
            </w:r>
          </w:p>
        </w:tc>
        <w:tc>
          <w:tcPr>
            <w:tcW w:w="790" w:type="pct"/>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5</w:t>
            </w:r>
          </w:p>
        </w:tc>
        <w:tc>
          <w:tcPr>
            <w:tcW w:w="790" w:type="pct"/>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5</w:t>
            </w:r>
          </w:p>
        </w:tc>
      </w:tr>
      <w:tr w:rsidR="004B49C5" w:rsidRPr="00E436EA" w:rsidTr="004B49C5">
        <w:trPr>
          <w:trHeight w:val="20"/>
        </w:trPr>
        <w:tc>
          <w:tcPr>
            <w:cnfStyle w:val="001000000000" w:firstRow="0" w:lastRow="0" w:firstColumn="1" w:lastColumn="0" w:oddVBand="0" w:evenVBand="0" w:oddHBand="0" w:evenHBand="0" w:firstRowFirstColumn="0" w:firstRowLastColumn="0" w:lastRowFirstColumn="0" w:lastRowLastColumn="0"/>
            <w:tcW w:w="1730" w:type="pct"/>
            <w:vMerge/>
            <w:tcBorders>
              <w:left w:val="none" w:sz="0" w:space="0" w:color="auto"/>
            </w:tcBorders>
            <w:vAlign w:val="center"/>
            <w:hideMark/>
          </w:tcPr>
          <w:p w:rsidR="00E436EA" w:rsidRPr="00E436EA" w:rsidRDefault="00E436EA" w:rsidP="00E436EA">
            <w:pPr>
              <w:spacing w:line="240" w:lineRule="auto"/>
              <w:contextualSpacing w:val="0"/>
              <w:jc w:val="center"/>
              <w:rPr>
                <w:rFonts w:eastAsia="Times New Roman"/>
                <w:b/>
                <w:bCs/>
                <w:color w:val="000000"/>
                <w:sz w:val="18"/>
                <w:szCs w:val="18"/>
                <w:lang w:eastAsia="es-CO"/>
              </w:rPr>
            </w:pPr>
          </w:p>
        </w:tc>
        <w:tc>
          <w:tcPr>
            <w:tcW w:w="1689" w:type="pct"/>
            <w:gridSpan w:val="2"/>
            <w:shd w:val="clear" w:color="auto" w:fill="F2F2F2" w:themeFill="background1" w:themeFillShade="F2"/>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E436EA">
              <w:rPr>
                <w:rFonts w:eastAsia="Times New Roman"/>
                <w:b/>
                <w:bCs/>
                <w:color w:val="000000"/>
                <w:sz w:val="18"/>
                <w:szCs w:val="18"/>
                <w:lang w:eastAsia="es-CO"/>
              </w:rPr>
              <w:t>Valor Total Pesos ($)</w:t>
            </w:r>
          </w:p>
        </w:tc>
        <w:tc>
          <w:tcPr>
            <w:tcW w:w="790" w:type="pct"/>
            <w:shd w:val="clear" w:color="auto" w:fill="F2F2F2" w:themeFill="background1" w:themeFillShade="F2"/>
            <w:noWrap/>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E436EA">
              <w:rPr>
                <w:rFonts w:eastAsia="Times New Roman"/>
                <w:b/>
                <w:bCs/>
                <w:color w:val="000000"/>
                <w:sz w:val="18"/>
                <w:szCs w:val="18"/>
                <w:lang w:eastAsia="es-CO"/>
              </w:rPr>
              <w:t>3.346.195</w:t>
            </w:r>
          </w:p>
        </w:tc>
        <w:tc>
          <w:tcPr>
            <w:tcW w:w="790" w:type="pct"/>
            <w:shd w:val="clear" w:color="auto" w:fill="F2F2F2" w:themeFill="background1" w:themeFillShade="F2"/>
            <w:noWrap/>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E436EA">
              <w:rPr>
                <w:rFonts w:eastAsia="Times New Roman"/>
                <w:b/>
                <w:bCs/>
                <w:color w:val="000000"/>
                <w:sz w:val="18"/>
                <w:szCs w:val="18"/>
                <w:lang w:eastAsia="es-CO"/>
              </w:rPr>
              <w:t>3.346.195</w:t>
            </w:r>
          </w:p>
        </w:tc>
      </w:tr>
      <w:tr w:rsidR="00E436EA" w:rsidRPr="00E436EA" w:rsidTr="00635034">
        <w:trPr>
          <w:trHeight w:val="20"/>
        </w:trPr>
        <w:tc>
          <w:tcPr>
            <w:cnfStyle w:val="001000000000" w:firstRow="0" w:lastRow="0" w:firstColumn="1" w:lastColumn="0" w:oddVBand="0" w:evenVBand="0" w:oddHBand="0" w:evenHBand="0" w:firstRowFirstColumn="0" w:firstRowLastColumn="0" w:lastRowFirstColumn="0" w:lastRowLastColumn="0"/>
            <w:tcW w:w="1730" w:type="pct"/>
            <w:vMerge/>
            <w:tcBorders>
              <w:left w:val="none" w:sz="0" w:space="0" w:color="auto"/>
            </w:tcBorders>
            <w:vAlign w:val="center"/>
            <w:hideMark/>
          </w:tcPr>
          <w:p w:rsidR="00E436EA" w:rsidRPr="00E436EA" w:rsidRDefault="00E436EA" w:rsidP="00E436EA">
            <w:pPr>
              <w:spacing w:line="240" w:lineRule="auto"/>
              <w:contextualSpacing w:val="0"/>
              <w:jc w:val="center"/>
              <w:rPr>
                <w:rFonts w:eastAsia="Times New Roman"/>
                <w:b/>
                <w:bCs/>
                <w:color w:val="000000"/>
                <w:sz w:val="18"/>
                <w:szCs w:val="18"/>
                <w:lang w:eastAsia="es-CO"/>
              </w:rPr>
            </w:pPr>
          </w:p>
        </w:tc>
        <w:tc>
          <w:tcPr>
            <w:tcW w:w="1689" w:type="pct"/>
            <w:gridSpan w:val="2"/>
            <w:noWrap/>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Valor Presente Neto ($)</w:t>
            </w:r>
          </w:p>
        </w:tc>
        <w:tc>
          <w:tcPr>
            <w:tcW w:w="790" w:type="pct"/>
            <w:noWrap/>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2.987.674</w:t>
            </w:r>
          </w:p>
        </w:tc>
        <w:tc>
          <w:tcPr>
            <w:tcW w:w="790" w:type="pct"/>
            <w:noWrap/>
            <w:vAlign w:val="center"/>
            <w:hideMark/>
          </w:tcPr>
          <w:p w:rsidR="00E436EA" w:rsidRPr="00E436EA" w:rsidRDefault="00E436EA" w:rsidP="00E436E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2.987.674</w:t>
            </w:r>
          </w:p>
        </w:tc>
      </w:tr>
    </w:tbl>
    <w:p w:rsidR="00ED7FA9" w:rsidRPr="00AA0A2C" w:rsidRDefault="00ED7FA9" w:rsidP="00E436EA">
      <w:pPr>
        <w:pStyle w:val="Notas"/>
      </w:pPr>
      <w:r w:rsidRPr="00AA0A2C">
        <w:t>Fuente: Autopista Rio Magdalena S.A.S., 2016.</w:t>
      </w:r>
    </w:p>
    <w:p w:rsidR="00ED7FA9" w:rsidRPr="00ED7FA9" w:rsidRDefault="00ED7FA9" w:rsidP="00ED7FA9">
      <w:pPr>
        <w:rPr>
          <w:rFonts w:asciiTheme="majorHAnsi" w:hAnsiTheme="majorHAnsi"/>
          <w:sz w:val="18"/>
        </w:rPr>
      </w:pPr>
      <w:r w:rsidRPr="00ED7FA9">
        <w:rPr>
          <w:rFonts w:asciiTheme="majorHAnsi" w:hAnsiTheme="majorHAnsi"/>
          <w:sz w:val="18"/>
        </w:rPr>
        <w:t>*: La tasa de absorción de CO2 de los bosques es de 5,21 tCO2/Ha/año se obtuvo del Panel Internacional sobre Cambio Climático (IPCC, 2001).</w:t>
      </w:r>
      <w:r w:rsidRPr="00ED7FA9">
        <w:rPr>
          <w:rFonts w:asciiTheme="majorHAnsi" w:hAnsiTheme="majorHAnsi"/>
          <w:sz w:val="18"/>
        </w:rPr>
        <w:tab/>
      </w:r>
      <w:r w:rsidRPr="00ED7FA9">
        <w:rPr>
          <w:rFonts w:asciiTheme="majorHAnsi" w:hAnsiTheme="majorHAnsi"/>
          <w:sz w:val="18"/>
        </w:rPr>
        <w:tab/>
      </w:r>
      <w:r w:rsidRPr="00ED7FA9">
        <w:rPr>
          <w:rFonts w:asciiTheme="majorHAnsi" w:hAnsiTheme="majorHAnsi"/>
          <w:sz w:val="18"/>
        </w:rPr>
        <w:tab/>
      </w:r>
      <w:r w:rsidRPr="00ED7FA9">
        <w:rPr>
          <w:rFonts w:asciiTheme="majorHAnsi" w:hAnsiTheme="majorHAnsi"/>
          <w:sz w:val="18"/>
        </w:rPr>
        <w:tab/>
      </w:r>
    </w:p>
    <w:p w:rsidR="00ED7FA9" w:rsidRPr="00ED7FA9" w:rsidRDefault="00ED7FA9" w:rsidP="00ED7FA9">
      <w:pPr>
        <w:rPr>
          <w:rFonts w:asciiTheme="majorHAnsi" w:hAnsiTheme="majorHAnsi"/>
          <w:sz w:val="18"/>
        </w:rPr>
      </w:pPr>
      <w:r w:rsidRPr="00ED7FA9">
        <w:rPr>
          <w:rFonts w:asciiTheme="majorHAnsi" w:hAnsiTheme="majorHAnsi"/>
          <w:sz w:val="18"/>
        </w:rPr>
        <w:t>**: El valor de la tonelada de CO2 se obtuvo del Banco Mundial. Ton. CO2 = US$10 y se maneja con una tasa de cambio promedio para diciembre de 2015 ($3.244,20/US$)</w:t>
      </w:r>
      <w:r w:rsidRPr="00ED7FA9">
        <w:rPr>
          <w:rFonts w:asciiTheme="majorHAnsi" w:hAnsiTheme="majorHAnsi"/>
          <w:sz w:val="18"/>
        </w:rPr>
        <w:tab/>
      </w:r>
      <w:r w:rsidRPr="00ED7FA9">
        <w:rPr>
          <w:rFonts w:asciiTheme="majorHAnsi" w:hAnsiTheme="majorHAnsi"/>
          <w:sz w:val="18"/>
        </w:rPr>
        <w:tab/>
      </w:r>
      <w:r w:rsidRPr="00ED7FA9">
        <w:rPr>
          <w:rFonts w:asciiTheme="majorHAnsi" w:hAnsiTheme="majorHAnsi"/>
          <w:sz w:val="18"/>
        </w:rPr>
        <w:tab/>
      </w:r>
      <w:r w:rsidRPr="00ED7FA9">
        <w:rPr>
          <w:rFonts w:asciiTheme="majorHAnsi" w:hAnsiTheme="majorHAnsi"/>
          <w:sz w:val="18"/>
        </w:rPr>
        <w:tab/>
      </w:r>
    </w:p>
    <w:p w:rsidR="00ED7FA9" w:rsidRDefault="00ED7FA9" w:rsidP="00ED7FA9">
      <w:pPr>
        <w:rPr>
          <w:rFonts w:asciiTheme="majorHAnsi" w:hAnsiTheme="majorHAnsi"/>
          <w:sz w:val="18"/>
        </w:rPr>
      </w:pPr>
      <w:r w:rsidRPr="00ED7FA9">
        <w:rPr>
          <w:rFonts w:asciiTheme="majorHAnsi" w:hAnsiTheme="majorHAnsi"/>
          <w:sz w:val="18"/>
        </w:rPr>
        <w:t>***: Se considera un periodo de cinco años en los que no habrá ganancias de captura de CO2, un primer año durante la tala y la plantación y cuatro años que tarda en recuperarse el bosque según Marwin Melga, 2006</w:t>
      </w:r>
      <w:r>
        <w:rPr>
          <w:rFonts w:asciiTheme="majorHAnsi" w:hAnsiTheme="majorHAnsi"/>
          <w:sz w:val="18"/>
        </w:rPr>
        <w:t>.</w:t>
      </w:r>
    </w:p>
    <w:p w:rsidR="00ED7FA9" w:rsidRPr="00AA0A2C" w:rsidRDefault="00ED7FA9" w:rsidP="00AA0A2C">
      <w:pPr>
        <w:rPr>
          <w:rFonts w:asciiTheme="majorHAnsi" w:hAnsiTheme="majorHAnsi" w:cs="Arial"/>
          <w:b/>
          <w:u w:val="single"/>
        </w:rPr>
      </w:pPr>
    </w:p>
    <w:p w:rsidR="00D44B72" w:rsidRPr="00186175" w:rsidRDefault="00D44B72" w:rsidP="00D44B72">
      <w:pPr>
        <w:pStyle w:val="Ttulo5"/>
        <w:rPr>
          <w:rFonts w:asciiTheme="majorHAnsi" w:hAnsiTheme="majorHAnsi" w:cs="Arial"/>
          <w:b/>
        </w:rPr>
      </w:pPr>
      <w:bookmarkStart w:id="100" w:name="_Toc357176573"/>
      <w:r>
        <w:t>Valoración de impactos sobre los</w:t>
      </w:r>
      <w:r w:rsidRPr="00186175">
        <w:t xml:space="preserve"> </w:t>
      </w:r>
      <w:r w:rsidRPr="00186175">
        <w:rPr>
          <w:rStyle w:val="Ttulo4Car"/>
          <w:u w:val="none"/>
        </w:rPr>
        <w:t>recurso</w:t>
      </w:r>
      <w:r>
        <w:rPr>
          <w:rStyle w:val="Ttulo4Car"/>
          <w:u w:val="none"/>
        </w:rPr>
        <w:t>s</w:t>
      </w:r>
      <w:r w:rsidRPr="00186175">
        <w:rPr>
          <w:rStyle w:val="Ttulo4Car"/>
          <w:u w:val="none"/>
        </w:rPr>
        <w:t xml:space="preserve"> Flora</w:t>
      </w:r>
      <w:r>
        <w:rPr>
          <w:rStyle w:val="Ttulo4Car"/>
          <w:u w:val="none"/>
        </w:rPr>
        <w:t xml:space="preserve"> y Fauna</w:t>
      </w:r>
      <w:r w:rsidRPr="00186175">
        <w:rPr>
          <w:rFonts w:asciiTheme="majorHAnsi" w:hAnsiTheme="majorHAnsi" w:cs="Arial"/>
          <w:b/>
        </w:rPr>
        <w:t xml:space="preserve"> </w:t>
      </w:r>
    </w:p>
    <w:p w:rsidR="00AA0A2C" w:rsidRPr="00AA0A2C" w:rsidRDefault="00AA0A2C" w:rsidP="00AA0A2C">
      <w:pPr>
        <w:rPr>
          <w:rFonts w:asciiTheme="majorHAnsi" w:hAnsiTheme="majorHAnsi"/>
          <w:b/>
        </w:rPr>
      </w:pPr>
    </w:p>
    <w:bookmarkEnd w:id="100"/>
    <w:p w:rsidR="00D44B72" w:rsidRDefault="00D44B72" w:rsidP="00D44B72">
      <w:pPr>
        <w:rPr>
          <w:rFonts w:asciiTheme="majorHAnsi" w:hAnsiTheme="majorHAnsi"/>
          <w:b/>
        </w:rPr>
      </w:pPr>
      <w:r>
        <w:rPr>
          <w:rFonts w:asciiTheme="majorHAnsi" w:hAnsiTheme="majorHAnsi"/>
          <w:b/>
        </w:rPr>
        <w:t>Plan de Compensación por Pérdida de Biodiversidad</w:t>
      </w:r>
    </w:p>
    <w:p w:rsidR="00AA0A2C" w:rsidRDefault="00AA0A2C" w:rsidP="00AA0A2C">
      <w:pPr>
        <w:tabs>
          <w:tab w:val="left" w:pos="0"/>
          <w:tab w:val="left" w:pos="2492"/>
        </w:tabs>
        <w:rPr>
          <w:rFonts w:asciiTheme="majorHAnsi" w:hAnsiTheme="majorHAnsi" w:cs="Arial"/>
        </w:rPr>
      </w:pPr>
    </w:p>
    <w:p w:rsidR="006F567E" w:rsidRPr="00416281" w:rsidRDefault="006F567E" w:rsidP="006F567E">
      <w:pPr>
        <w:rPr>
          <w:rFonts w:asciiTheme="majorHAnsi" w:hAnsiTheme="majorHAnsi"/>
        </w:rPr>
      </w:pPr>
      <w:r>
        <w:rPr>
          <w:rFonts w:asciiTheme="majorHAnsi" w:hAnsiTheme="majorHAnsi"/>
        </w:rPr>
        <w:t xml:space="preserve">Consiste en las acciones que tienen como objeto resarcir a la biodiversidad por los impactos o </w:t>
      </w:r>
      <w:r w:rsidRPr="00416281">
        <w:rPr>
          <w:rFonts w:asciiTheme="majorHAnsi" w:hAnsiTheme="majorHAnsi"/>
        </w:rPr>
        <w:t>efectos negativos que no puedan ser evitados, corregidos, mitigados o sustituidos y que conlleven pérdida de la biodiversidad en los ecosistemas naturales terrestres y vegetación secundaria; de manera que se garantice la conservación efectiva de un área ecológicamente equivalente donde se logre generar una estrategia de conservación permanente y/o su restauración ecológica, a fin de que al comparar con la línea base se garantice la no pérdida neta de biodiversidad. La pérdida de biodiversidad se presenta cuando por procesos de transformación y degradación del paisaje, el tamaño, el contexto paisajístico y la riqueza de los elementos de la biodiversidad es perturbada y disminuida y, se inician procesos de pérdida y extinción local o regional. El principio de la no pérdida neta de biodiversidad o ganancia neta de biodiversidad se refiere a la compensación que es diseñada y ejecutada para alcanzar resultados de conservación in situ medibles, que de manera razonable pueda esperarse que darán lugar a la no pérdida neta (BBOP, 2012).</w:t>
      </w:r>
      <w:r>
        <w:rPr>
          <w:rStyle w:val="Refdenotaalpie"/>
          <w:rFonts w:asciiTheme="majorHAnsi" w:hAnsiTheme="majorHAnsi"/>
        </w:rPr>
        <w:footnoteReference w:id="15"/>
      </w:r>
    </w:p>
    <w:p w:rsidR="006F567E" w:rsidRDefault="006F567E" w:rsidP="00AA0A2C">
      <w:pPr>
        <w:tabs>
          <w:tab w:val="left" w:pos="0"/>
          <w:tab w:val="left" w:pos="2492"/>
        </w:tabs>
        <w:rPr>
          <w:rFonts w:asciiTheme="majorHAnsi" w:hAnsiTheme="majorHAnsi" w:cs="Arial"/>
        </w:rPr>
      </w:pPr>
    </w:p>
    <w:p w:rsidR="00AA0A2C" w:rsidRPr="00AA0A2C" w:rsidRDefault="00AA0A2C" w:rsidP="00AA0A2C">
      <w:pPr>
        <w:tabs>
          <w:tab w:val="left" w:pos="0"/>
          <w:tab w:val="left" w:pos="2492"/>
        </w:tabs>
        <w:rPr>
          <w:rFonts w:asciiTheme="majorHAnsi" w:hAnsiTheme="majorHAnsi" w:cs="Arial"/>
        </w:rPr>
      </w:pPr>
      <w:r w:rsidRPr="00AA0A2C">
        <w:rPr>
          <w:rFonts w:asciiTheme="majorHAnsi" w:hAnsiTheme="majorHAnsi" w:cs="Arial"/>
        </w:rPr>
        <w:t>Colombia, es un país con una extensión de 2.070.408 km2 incluidas las áreas terrestres (1.141.748 km2) y marinas (880.376 km2), ha sido considerado como uno de los 12 países llamados “megadiversos” en el mundo; condición que se ve reflejada en la amplia variedad de ecosistemas representados en el territorio colombiano, desde páramos, laderas y valles andinos hasta selvas húmedas tropicales, bosques secos, humedales, llanuras y desiertos (IDEAM et al. 2007). Sin embargo, la mayoría de los ecosistemas naturales de Colombia han sido transformados y degradados como resultado de actividades como la deforestación causada entre otras, por cultivos ilícitos, aprovechamiento no sostenible y sobreexplotación producción agroindustrial; la producción agropecuaria, explotación de materiales a cielo abierto, desarrollo urbano y de infraestructura, la urbanización e introducción de especies, entre otras.</w:t>
      </w:r>
    </w:p>
    <w:p w:rsidR="00AA0A2C" w:rsidRPr="00AA0A2C" w:rsidRDefault="00AA0A2C" w:rsidP="00AA0A2C">
      <w:pPr>
        <w:tabs>
          <w:tab w:val="left" w:pos="0"/>
          <w:tab w:val="left" w:pos="2492"/>
        </w:tabs>
        <w:rPr>
          <w:rFonts w:asciiTheme="majorHAnsi" w:hAnsiTheme="majorHAnsi" w:cs="Arial"/>
        </w:rPr>
      </w:pPr>
    </w:p>
    <w:p w:rsidR="00AA0A2C" w:rsidRPr="00AA0A2C" w:rsidRDefault="00AA0A2C" w:rsidP="00AA0A2C">
      <w:pPr>
        <w:tabs>
          <w:tab w:val="left" w:pos="0"/>
          <w:tab w:val="left" w:pos="2492"/>
        </w:tabs>
        <w:rPr>
          <w:rFonts w:asciiTheme="majorHAnsi" w:hAnsiTheme="majorHAnsi" w:cs="Arial"/>
        </w:rPr>
      </w:pPr>
      <w:r w:rsidRPr="00AA0A2C">
        <w:rPr>
          <w:rFonts w:asciiTheme="majorHAnsi" w:hAnsiTheme="majorHAnsi" w:cs="Arial"/>
        </w:rPr>
        <w:t xml:space="preserve">En este caso la construcción de un corredor vial interviene zonas boscosas y requiere remover diversos tipos de vegetación ocasionando alteraciones en los ecosistemas. Esta rápida conversión y deterioro de los ecosistemas originales, deriva en pérdida de biodiversidad, disminución en calidad y cantidad de los recursos hídricos y degradación de los suelos y de aguas. </w:t>
      </w:r>
    </w:p>
    <w:p w:rsidR="00AA0A2C" w:rsidRPr="00AA0A2C" w:rsidRDefault="00AA0A2C" w:rsidP="00AA0A2C">
      <w:pPr>
        <w:tabs>
          <w:tab w:val="left" w:pos="0"/>
          <w:tab w:val="left" w:pos="2492"/>
        </w:tabs>
        <w:rPr>
          <w:rFonts w:asciiTheme="majorHAnsi" w:hAnsiTheme="majorHAnsi" w:cs="Arial"/>
        </w:rPr>
      </w:pPr>
    </w:p>
    <w:p w:rsidR="00AA0A2C" w:rsidRPr="00AA0A2C" w:rsidRDefault="00AA0A2C" w:rsidP="00AA0A2C">
      <w:pPr>
        <w:tabs>
          <w:tab w:val="left" w:pos="0"/>
          <w:tab w:val="left" w:pos="2492"/>
        </w:tabs>
        <w:rPr>
          <w:rFonts w:asciiTheme="majorHAnsi" w:hAnsiTheme="majorHAnsi" w:cs="Arial"/>
        </w:rPr>
      </w:pPr>
      <w:r w:rsidRPr="00AA0A2C">
        <w:rPr>
          <w:rFonts w:asciiTheme="majorHAnsi" w:hAnsiTheme="majorHAnsi" w:cs="Arial"/>
        </w:rPr>
        <w:t xml:space="preserve">Dentro de este contexto de afectaciones, se propone incluir como un beneficio del proyecto, la programación de reforestaciones en las proporciones establecidas en el Manual de Compensación del MADS, que permitan </w:t>
      </w:r>
      <w:r w:rsidR="00D44B72" w:rsidRPr="00AA0A2C">
        <w:rPr>
          <w:rFonts w:asciiTheme="majorHAnsi" w:hAnsiTheme="majorHAnsi" w:cs="Arial"/>
        </w:rPr>
        <w:t>recuperar las</w:t>
      </w:r>
      <w:r w:rsidRPr="00AA0A2C">
        <w:rPr>
          <w:rFonts w:asciiTheme="majorHAnsi" w:hAnsiTheme="majorHAnsi" w:cs="Arial"/>
        </w:rPr>
        <w:t xml:space="preserve"> condiciones originales del entorno, inscribiendo el impulso de la infraestructura vial dentro del marco del desarrollo sustentable. A </w:t>
      </w:r>
      <w:r w:rsidR="00D44B72" w:rsidRPr="00AA0A2C">
        <w:rPr>
          <w:rFonts w:asciiTheme="majorHAnsi" w:hAnsiTheme="majorHAnsi" w:cs="Arial"/>
        </w:rPr>
        <w:t>continuación,</w:t>
      </w:r>
      <w:r w:rsidRPr="00AA0A2C">
        <w:rPr>
          <w:rFonts w:asciiTheme="majorHAnsi" w:hAnsiTheme="majorHAnsi" w:cs="Arial"/>
        </w:rPr>
        <w:t xml:space="preserve"> se observan en detalle estos beneficios.</w:t>
      </w:r>
    </w:p>
    <w:p w:rsidR="00AA0A2C" w:rsidRDefault="00AA0A2C" w:rsidP="00AA0A2C">
      <w:pPr>
        <w:tabs>
          <w:tab w:val="left" w:pos="0"/>
          <w:tab w:val="left" w:pos="2492"/>
        </w:tabs>
        <w:rPr>
          <w:rFonts w:asciiTheme="majorHAnsi" w:hAnsiTheme="majorHAnsi" w:cs="Arial"/>
        </w:rPr>
      </w:pPr>
    </w:p>
    <w:p w:rsidR="00370CFB" w:rsidRDefault="00370CFB" w:rsidP="00370CFB">
      <w:pPr>
        <w:pStyle w:val="Tablas"/>
      </w:pPr>
      <w:r>
        <w:t xml:space="preserve">Tabla </w:t>
      </w:r>
      <w:r w:rsidR="006D0D6E">
        <w:fldChar w:fldCharType="begin"/>
      </w:r>
      <w:r w:rsidR="006D0D6E">
        <w:instrText xml:space="preserve"> STYLEREF 1 \s </w:instrText>
      </w:r>
      <w:r w:rsidR="006D0D6E">
        <w:fldChar w:fldCharType="separate"/>
      </w:r>
      <w:r w:rsidR="006D0D6E">
        <w:rPr>
          <w:noProof/>
        </w:rPr>
        <w:t>10</w:t>
      </w:r>
      <w:r w:rsidR="006D0D6E">
        <w:fldChar w:fldCharType="end"/>
      </w:r>
      <w:r w:rsidR="006D0D6E">
        <w:t>.</w:t>
      </w:r>
      <w:r w:rsidR="006D0D6E">
        <w:fldChar w:fldCharType="begin"/>
      </w:r>
      <w:r w:rsidR="006D0D6E">
        <w:instrText xml:space="preserve"> SEQ Tabla \* ARABIC \s 1 </w:instrText>
      </w:r>
      <w:r w:rsidR="006D0D6E">
        <w:fldChar w:fldCharType="separate"/>
      </w:r>
      <w:r w:rsidR="006D0D6E">
        <w:rPr>
          <w:noProof/>
        </w:rPr>
        <w:t>23</w:t>
      </w:r>
      <w:r w:rsidR="006D0D6E">
        <w:fldChar w:fldCharType="end"/>
      </w:r>
      <w:r>
        <w:t xml:space="preserve"> </w:t>
      </w:r>
      <w:r w:rsidRPr="00370CFB">
        <w:t>Detalle del Plan de Compensación</w:t>
      </w:r>
      <w:r>
        <w:t xml:space="preserve"> por Pérdida de Biodiversidad</w:t>
      </w:r>
    </w:p>
    <w:tbl>
      <w:tblPr>
        <w:tblStyle w:val="Gminis"/>
        <w:tblW w:w="5000" w:type="pct"/>
        <w:tblLook w:val="04A0" w:firstRow="1" w:lastRow="0" w:firstColumn="1" w:lastColumn="0" w:noHBand="0" w:noVBand="1"/>
      </w:tblPr>
      <w:tblGrid>
        <w:gridCol w:w="4568"/>
        <w:gridCol w:w="3693"/>
      </w:tblGrid>
      <w:tr w:rsidR="00E436EA" w:rsidRPr="0010296A" w:rsidTr="00635034">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shd w:val="clear" w:color="auto" w:fill="BFBFBF" w:themeFill="background1" w:themeFillShade="BF"/>
            <w:noWrap/>
            <w:vAlign w:val="center"/>
            <w:hideMark/>
          </w:tcPr>
          <w:p w:rsidR="00E436EA" w:rsidRPr="00635034" w:rsidRDefault="00E436EA" w:rsidP="004B49C5">
            <w:pPr>
              <w:spacing w:line="240" w:lineRule="auto"/>
              <w:contextualSpacing w:val="0"/>
              <w:jc w:val="center"/>
              <w:rPr>
                <w:rFonts w:eastAsia="Times New Roman"/>
                <w:bCs/>
                <w:color w:val="000000"/>
                <w:sz w:val="18"/>
                <w:szCs w:val="18"/>
                <w:lang w:eastAsia="es-CO"/>
              </w:rPr>
            </w:pPr>
            <w:r w:rsidRPr="00635034">
              <w:rPr>
                <w:rFonts w:eastAsia="Times New Roman"/>
                <w:bCs/>
                <w:color w:val="000000"/>
                <w:sz w:val="18"/>
                <w:szCs w:val="18"/>
                <w:lang w:eastAsia="es-CO"/>
              </w:rPr>
              <w:t>DETALLE DEL PLAN DE COMPENSACIÓN BIOTICO</w:t>
            </w:r>
          </w:p>
        </w:tc>
      </w:tr>
      <w:tr w:rsidR="00E436EA" w:rsidRPr="0010296A" w:rsidTr="004B49C5">
        <w:trPr>
          <w:trHeight w:val="20"/>
        </w:trPr>
        <w:tc>
          <w:tcPr>
            <w:cnfStyle w:val="001000000000" w:firstRow="0" w:lastRow="0" w:firstColumn="1" w:lastColumn="0" w:oddVBand="0" w:evenVBand="0" w:oddHBand="0" w:evenHBand="0" w:firstRowFirstColumn="0" w:firstRowLastColumn="0" w:lastRowFirstColumn="0" w:lastRowLastColumn="0"/>
            <w:tcW w:w="2765" w:type="pct"/>
            <w:tcBorders>
              <w:left w:val="none" w:sz="0" w:space="0" w:color="auto"/>
            </w:tcBorders>
            <w:vAlign w:val="center"/>
            <w:hideMark/>
          </w:tcPr>
          <w:p w:rsidR="00E436EA" w:rsidRPr="0010296A" w:rsidRDefault="00E436EA" w:rsidP="004B49C5">
            <w:pPr>
              <w:spacing w:line="240" w:lineRule="auto"/>
              <w:contextualSpacing w:val="0"/>
              <w:jc w:val="center"/>
              <w:rPr>
                <w:rFonts w:eastAsia="Times New Roman"/>
                <w:b/>
                <w:bCs/>
                <w:color w:val="000000"/>
                <w:sz w:val="18"/>
                <w:szCs w:val="18"/>
                <w:lang w:eastAsia="es-CO"/>
              </w:rPr>
            </w:pPr>
            <w:r w:rsidRPr="0010296A">
              <w:rPr>
                <w:rFonts w:eastAsia="Times New Roman"/>
                <w:b/>
                <w:bCs/>
                <w:color w:val="000000"/>
                <w:sz w:val="18"/>
                <w:szCs w:val="18"/>
                <w:lang w:eastAsia="es-CO"/>
              </w:rPr>
              <w:t>Componente</w:t>
            </w:r>
          </w:p>
        </w:tc>
        <w:tc>
          <w:tcPr>
            <w:tcW w:w="2235" w:type="pct"/>
            <w:noWrap/>
            <w:vAlign w:val="center"/>
            <w:hideMark/>
          </w:tcPr>
          <w:p w:rsidR="00E436EA" w:rsidRPr="0010296A" w:rsidRDefault="00E436EA"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10296A">
              <w:rPr>
                <w:rFonts w:eastAsia="Times New Roman"/>
                <w:color w:val="000000"/>
                <w:sz w:val="18"/>
                <w:szCs w:val="18"/>
                <w:lang w:eastAsia="es-CO"/>
              </w:rPr>
              <w:t>Biótico</w:t>
            </w:r>
          </w:p>
        </w:tc>
      </w:tr>
      <w:tr w:rsidR="00E436EA" w:rsidRPr="0010296A" w:rsidTr="004B49C5">
        <w:trPr>
          <w:trHeight w:val="20"/>
        </w:trPr>
        <w:tc>
          <w:tcPr>
            <w:cnfStyle w:val="001000000000" w:firstRow="0" w:lastRow="0" w:firstColumn="1" w:lastColumn="0" w:oddVBand="0" w:evenVBand="0" w:oddHBand="0" w:evenHBand="0" w:firstRowFirstColumn="0" w:firstRowLastColumn="0" w:lastRowFirstColumn="0" w:lastRowLastColumn="0"/>
            <w:tcW w:w="2765" w:type="pct"/>
            <w:tcBorders>
              <w:left w:val="none" w:sz="0" w:space="0" w:color="auto"/>
            </w:tcBorders>
            <w:vAlign w:val="center"/>
            <w:hideMark/>
          </w:tcPr>
          <w:p w:rsidR="00E436EA" w:rsidRPr="0010296A" w:rsidRDefault="00E436EA" w:rsidP="004B49C5">
            <w:pPr>
              <w:spacing w:line="240" w:lineRule="auto"/>
              <w:contextualSpacing w:val="0"/>
              <w:jc w:val="center"/>
              <w:rPr>
                <w:rFonts w:eastAsia="Times New Roman"/>
                <w:b/>
                <w:bCs/>
                <w:color w:val="000000"/>
                <w:sz w:val="18"/>
                <w:szCs w:val="18"/>
                <w:lang w:eastAsia="es-CO"/>
              </w:rPr>
            </w:pPr>
            <w:r w:rsidRPr="0010296A">
              <w:rPr>
                <w:rFonts w:eastAsia="Times New Roman"/>
                <w:b/>
                <w:bCs/>
                <w:color w:val="000000"/>
                <w:sz w:val="18"/>
                <w:szCs w:val="18"/>
                <w:lang w:eastAsia="es-CO"/>
              </w:rPr>
              <w:t>Elemento</w:t>
            </w:r>
          </w:p>
        </w:tc>
        <w:tc>
          <w:tcPr>
            <w:tcW w:w="2235" w:type="pct"/>
            <w:noWrap/>
            <w:vAlign w:val="center"/>
            <w:hideMark/>
          </w:tcPr>
          <w:p w:rsidR="00E436EA" w:rsidRPr="0010296A" w:rsidRDefault="00E436EA"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10296A">
              <w:rPr>
                <w:rFonts w:eastAsia="Times New Roman"/>
                <w:color w:val="000000"/>
                <w:sz w:val="18"/>
                <w:szCs w:val="18"/>
                <w:lang w:eastAsia="es-CO"/>
              </w:rPr>
              <w:t>Flora</w:t>
            </w:r>
          </w:p>
        </w:tc>
      </w:tr>
      <w:tr w:rsidR="00E436EA" w:rsidRPr="0010296A" w:rsidTr="004B49C5">
        <w:trPr>
          <w:trHeight w:val="20"/>
        </w:trPr>
        <w:tc>
          <w:tcPr>
            <w:cnfStyle w:val="001000000000" w:firstRow="0" w:lastRow="0" w:firstColumn="1" w:lastColumn="0" w:oddVBand="0" w:evenVBand="0" w:oddHBand="0" w:evenHBand="0" w:firstRowFirstColumn="0" w:firstRowLastColumn="0" w:lastRowFirstColumn="0" w:lastRowLastColumn="0"/>
            <w:tcW w:w="2765" w:type="pct"/>
            <w:tcBorders>
              <w:left w:val="none" w:sz="0" w:space="0" w:color="auto"/>
            </w:tcBorders>
            <w:vAlign w:val="center"/>
            <w:hideMark/>
          </w:tcPr>
          <w:p w:rsidR="00E436EA" w:rsidRPr="0010296A" w:rsidRDefault="00E436EA" w:rsidP="004B49C5">
            <w:pPr>
              <w:spacing w:line="240" w:lineRule="auto"/>
              <w:contextualSpacing w:val="0"/>
              <w:jc w:val="center"/>
              <w:rPr>
                <w:rFonts w:eastAsia="Times New Roman"/>
                <w:b/>
                <w:bCs/>
                <w:color w:val="000000"/>
                <w:sz w:val="18"/>
                <w:szCs w:val="18"/>
                <w:lang w:eastAsia="es-CO"/>
              </w:rPr>
            </w:pPr>
            <w:r w:rsidRPr="0010296A">
              <w:rPr>
                <w:rFonts w:eastAsia="Times New Roman"/>
                <w:b/>
                <w:bCs/>
                <w:color w:val="000000"/>
                <w:sz w:val="18"/>
                <w:szCs w:val="18"/>
                <w:lang w:eastAsia="es-CO"/>
              </w:rPr>
              <w:t>Indicador</w:t>
            </w:r>
          </w:p>
        </w:tc>
        <w:tc>
          <w:tcPr>
            <w:tcW w:w="2235" w:type="pct"/>
            <w:noWrap/>
            <w:vAlign w:val="center"/>
            <w:hideMark/>
          </w:tcPr>
          <w:p w:rsidR="00E436EA" w:rsidRPr="0010296A" w:rsidRDefault="00E436EA"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10296A">
              <w:rPr>
                <w:rFonts w:eastAsia="Times New Roman"/>
                <w:color w:val="000000"/>
                <w:sz w:val="18"/>
                <w:szCs w:val="18"/>
                <w:lang w:eastAsia="es-CO"/>
              </w:rPr>
              <w:t>Cobertura</w:t>
            </w:r>
          </w:p>
        </w:tc>
      </w:tr>
      <w:tr w:rsidR="00E436EA" w:rsidRPr="0010296A" w:rsidTr="004B49C5">
        <w:trPr>
          <w:trHeight w:val="20"/>
        </w:trPr>
        <w:tc>
          <w:tcPr>
            <w:cnfStyle w:val="001000000000" w:firstRow="0" w:lastRow="0" w:firstColumn="1" w:lastColumn="0" w:oddVBand="0" w:evenVBand="0" w:oddHBand="0" w:evenHBand="0" w:firstRowFirstColumn="0" w:firstRowLastColumn="0" w:lastRowFirstColumn="0" w:lastRowLastColumn="0"/>
            <w:tcW w:w="2765" w:type="pct"/>
            <w:tcBorders>
              <w:left w:val="none" w:sz="0" w:space="0" w:color="auto"/>
            </w:tcBorders>
            <w:vAlign w:val="center"/>
            <w:hideMark/>
          </w:tcPr>
          <w:p w:rsidR="00E436EA" w:rsidRPr="0010296A" w:rsidRDefault="00E436EA" w:rsidP="004B49C5">
            <w:pPr>
              <w:spacing w:line="240" w:lineRule="auto"/>
              <w:contextualSpacing w:val="0"/>
              <w:jc w:val="center"/>
              <w:rPr>
                <w:rFonts w:eastAsia="Times New Roman"/>
                <w:b/>
                <w:bCs/>
                <w:color w:val="FF0000"/>
                <w:sz w:val="18"/>
                <w:szCs w:val="18"/>
                <w:lang w:eastAsia="es-CO"/>
              </w:rPr>
            </w:pPr>
            <w:r w:rsidRPr="0010296A">
              <w:rPr>
                <w:rFonts w:eastAsia="Times New Roman"/>
                <w:b/>
                <w:bCs/>
                <w:color w:val="FF0000"/>
                <w:sz w:val="18"/>
                <w:szCs w:val="18"/>
                <w:lang w:eastAsia="es-CO"/>
              </w:rPr>
              <w:t>Impacto</w:t>
            </w:r>
          </w:p>
        </w:tc>
        <w:tc>
          <w:tcPr>
            <w:tcW w:w="2235" w:type="pct"/>
            <w:vAlign w:val="center"/>
            <w:hideMark/>
          </w:tcPr>
          <w:p w:rsidR="00E436EA" w:rsidRPr="0010296A" w:rsidRDefault="00E436EA"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FF0000"/>
                <w:sz w:val="18"/>
                <w:szCs w:val="18"/>
                <w:lang w:eastAsia="es-CO"/>
              </w:rPr>
            </w:pPr>
            <w:r w:rsidRPr="0010296A">
              <w:rPr>
                <w:rFonts w:eastAsia="Times New Roman"/>
                <w:b/>
                <w:bCs/>
                <w:color w:val="FF0000"/>
                <w:sz w:val="18"/>
                <w:szCs w:val="18"/>
                <w:lang w:eastAsia="es-CO"/>
              </w:rPr>
              <w:t>Compensación de cobertura vegetal</w:t>
            </w:r>
          </w:p>
        </w:tc>
      </w:tr>
      <w:tr w:rsidR="00E436EA" w:rsidRPr="0010296A" w:rsidTr="004B49C5">
        <w:trPr>
          <w:trHeight w:val="20"/>
        </w:trPr>
        <w:tc>
          <w:tcPr>
            <w:cnfStyle w:val="001000000000" w:firstRow="0" w:lastRow="0" w:firstColumn="1" w:lastColumn="0" w:oddVBand="0" w:evenVBand="0" w:oddHBand="0" w:evenHBand="0" w:firstRowFirstColumn="0" w:firstRowLastColumn="0" w:lastRowFirstColumn="0" w:lastRowLastColumn="0"/>
            <w:tcW w:w="2765" w:type="pct"/>
            <w:vMerge w:val="restart"/>
            <w:tcBorders>
              <w:left w:val="none" w:sz="0" w:space="0" w:color="auto"/>
            </w:tcBorders>
            <w:vAlign w:val="center"/>
            <w:hideMark/>
          </w:tcPr>
          <w:p w:rsidR="00E436EA" w:rsidRPr="0010296A" w:rsidRDefault="00E436EA" w:rsidP="004B49C5">
            <w:pPr>
              <w:spacing w:line="240" w:lineRule="auto"/>
              <w:contextualSpacing w:val="0"/>
              <w:jc w:val="center"/>
              <w:rPr>
                <w:rFonts w:eastAsia="Times New Roman"/>
                <w:b/>
                <w:bCs/>
                <w:color w:val="000000"/>
                <w:sz w:val="18"/>
                <w:szCs w:val="18"/>
                <w:lang w:eastAsia="es-CO"/>
              </w:rPr>
            </w:pPr>
            <w:r w:rsidRPr="0010296A">
              <w:rPr>
                <w:rFonts w:eastAsia="Times New Roman"/>
                <w:b/>
                <w:bCs/>
                <w:color w:val="000000"/>
                <w:sz w:val="18"/>
                <w:szCs w:val="18"/>
                <w:lang w:eastAsia="es-CO"/>
              </w:rPr>
              <w:t>Compensación por Pérdida de Biodiversidad</w:t>
            </w:r>
          </w:p>
        </w:tc>
        <w:tc>
          <w:tcPr>
            <w:tcW w:w="2235" w:type="pct"/>
            <w:vAlign w:val="center"/>
            <w:hideMark/>
          </w:tcPr>
          <w:p w:rsidR="00E436EA" w:rsidRPr="0010296A" w:rsidRDefault="00E436EA"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10296A">
              <w:rPr>
                <w:rFonts w:eastAsia="Times New Roman"/>
                <w:b/>
                <w:bCs/>
                <w:color w:val="000000"/>
                <w:sz w:val="18"/>
                <w:szCs w:val="18"/>
                <w:lang w:eastAsia="es-CO"/>
              </w:rPr>
              <w:t>Total Ha a compensar*</w:t>
            </w:r>
          </w:p>
        </w:tc>
      </w:tr>
      <w:tr w:rsidR="00E436EA" w:rsidRPr="0010296A" w:rsidTr="004B49C5">
        <w:trPr>
          <w:trHeight w:val="20"/>
        </w:trPr>
        <w:tc>
          <w:tcPr>
            <w:cnfStyle w:val="001000000000" w:firstRow="0" w:lastRow="0" w:firstColumn="1" w:lastColumn="0" w:oddVBand="0" w:evenVBand="0" w:oddHBand="0" w:evenHBand="0" w:firstRowFirstColumn="0" w:firstRowLastColumn="0" w:lastRowFirstColumn="0" w:lastRowLastColumn="0"/>
            <w:tcW w:w="2765" w:type="pct"/>
            <w:vMerge/>
            <w:tcBorders>
              <w:left w:val="none" w:sz="0" w:space="0" w:color="auto"/>
            </w:tcBorders>
            <w:vAlign w:val="center"/>
            <w:hideMark/>
          </w:tcPr>
          <w:p w:rsidR="00E436EA" w:rsidRPr="0010296A" w:rsidRDefault="00E436EA" w:rsidP="004B49C5">
            <w:pPr>
              <w:spacing w:line="240" w:lineRule="auto"/>
              <w:contextualSpacing w:val="0"/>
              <w:jc w:val="center"/>
              <w:rPr>
                <w:rFonts w:eastAsia="Times New Roman"/>
                <w:b/>
                <w:bCs/>
                <w:color w:val="000000"/>
                <w:sz w:val="18"/>
                <w:szCs w:val="18"/>
                <w:lang w:eastAsia="es-CO"/>
              </w:rPr>
            </w:pPr>
          </w:p>
        </w:tc>
        <w:tc>
          <w:tcPr>
            <w:tcW w:w="2235" w:type="pct"/>
            <w:noWrap/>
            <w:vAlign w:val="center"/>
            <w:hideMark/>
          </w:tcPr>
          <w:p w:rsidR="00E436EA" w:rsidRPr="0010296A" w:rsidRDefault="00E436EA"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10296A">
              <w:rPr>
                <w:rFonts w:eastAsia="Times New Roman"/>
                <w:color w:val="000000"/>
                <w:sz w:val="18"/>
                <w:szCs w:val="18"/>
                <w:lang w:eastAsia="es-CO"/>
              </w:rPr>
              <w:t>39,10</w:t>
            </w:r>
          </w:p>
        </w:tc>
      </w:tr>
    </w:tbl>
    <w:p w:rsidR="00370CFB" w:rsidRPr="00AA0A2C" w:rsidRDefault="00370CFB" w:rsidP="00370CFB">
      <w:pPr>
        <w:pStyle w:val="Notas"/>
        <w:rPr>
          <w:rFonts w:asciiTheme="majorHAnsi" w:hAnsiTheme="majorHAnsi"/>
        </w:rPr>
      </w:pPr>
      <w:r w:rsidRPr="00AA0A2C">
        <w:rPr>
          <w:rFonts w:asciiTheme="majorHAnsi" w:hAnsiTheme="majorHAnsi"/>
        </w:rPr>
        <w:t>Fuente: Autopista Rio Magdalena S.A.S., 2016.</w:t>
      </w:r>
    </w:p>
    <w:p w:rsidR="00AA0A2C" w:rsidRDefault="00AA0A2C" w:rsidP="00AA0A2C">
      <w:pPr>
        <w:jc w:val="center"/>
        <w:rPr>
          <w:rFonts w:asciiTheme="majorHAnsi" w:hAnsiTheme="majorHAnsi"/>
        </w:rPr>
      </w:pPr>
    </w:p>
    <w:p w:rsidR="00370CFB" w:rsidRDefault="004B49C5" w:rsidP="00370CFB">
      <w:pPr>
        <w:pStyle w:val="Tablas"/>
        <w:rPr>
          <w:rFonts w:asciiTheme="majorHAnsi" w:hAnsiTheme="majorHAnsi"/>
        </w:rPr>
      </w:pPr>
      <w:r>
        <w:t xml:space="preserve">Tabla </w:t>
      </w:r>
      <w:r w:rsidR="006D0D6E">
        <w:fldChar w:fldCharType="begin"/>
      </w:r>
      <w:r w:rsidR="006D0D6E">
        <w:instrText xml:space="preserve"> STYLEREF 1 \s </w:instrText>
      </w:r>
      <w:r w:rsidR="006D0D6E">
        <w:fldChar w:fldCharType="separate"/>
      </w:r>
      <w:r w:rsidR="006D0D6E">
        <w:rPr>
          <w:noProof/>
        </w:rPr>
        <w:t>10</w:t>
      </w:r>
      <w:r w:rsidR="006D0D6E">
        <w:fldChar w:fldCharType="end"/>
      </w:r>
      <w:r w:rsidR="006D0D6E">
        <w:t>.</w:t>
      </w:r>
      <w:r w:rsidR="006D0D6E">
        <w:fldChar w:fldCharType="begin"/>
      </w:r>
      <w:r w:rsidR="006D0D6E">
        <w:instrText xml:space="preserve"> SEQ Tabla \* ARABIC \s 1 </w:instrText>
      </w:r>
      <w:r w:rsidR="006D0D6E">
        <w:fldChar w:fldCharType="separate"/>
      </w:r>
      <w:r w:rsidR="006D0D6E">
        <w:rPr>
          <w:noProof/>
        </w:rPr>
        <w:t>24</w:t>
      </w:r>
      <w:r w:rsidR="006D0D6E">
        <w:fldChar w:fldCharType="end"/>
      </w:r>
      <w:r>
        <w:t xml:space="preserve"> Recuperación del Recurso Boscoso</w:t>
      </w:r>
    </w:p>
    <w:tbl>
      <w:tblPr>
        <w:tblStyle w:val="Gminis"/>
        <w:tblW w:w="0" w:type="auto"/>
        <w:tblLook w:val="04A0" w:firstRow="1" w:lastRow="0" w:firstColumn="1" w:lastColumn="0" w:noHBand="0" w:noVBand="1"/>
      </w:tblPr>
      <w:tblGrid>
        <w:gridCol w:w="3654"/>
        <w:gridCol w:w="691"/>
        <w:gridCol w:w="1880"/>
        <w:gridCol w:w="1926"/>
      </w:tblGrid>
      <w:tr w:rsidR="00E436EA" w:rsidRPr="00E436EA" w:rsidTr="004B49C5">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0" w:type="auto"/>
            <w:gridSpan w:val="4"/>
            <w:tcBorders>
              <w:top w:val="none" w:sz="0" w:space="0" w:color="auto"/>
              <w:left w:val="none" w:sz="0" w:space="0" w:color="auto"/>
              <w:bottom w:val="none" w:sz="0" w:space="0" w:color="auto"/>
              <w:right w:val="none" w:sz="0" w:space="0" w:color="auto"/>
            </w:tcBorders>
            <w:shd w:val="clear" w:color="auto" w:fill="BFBFBF" w:themeFill="background1" w:themeFillShade="BF"/>
            <w:noWrap/>
            <w:vAlign w:val="center"/>
            <w:hideMark/>
          </w:tcPr>
          <w:p w:rsidR="00E436EA" w:rsidRPr="00E436EA" w:rsidRDefault="00E436EA" w:rsidP="004B49C5">
            <w:pPr>
              <w:spacing w:line="240" w:lineRule="auto"/>
              <w:contextualSpacing w:val="0"/>
              <w:jc w:val="center"/>
              <w:rPr>
                <w:rFonts w:eastAsia="Times New Roman"/>
                <w:bCs/>
                <w:color w:val="000000"/>
                <w:sz w:val="18"/>
                <w:szCs w:val="18"/>
                <w:lang w:eastAsia="es-CO"/>
              </w:rPr>
            </w:pPr>
            <w:r w:rsidRPr="00E436EA">
              <w:rPr>
                <w:rFonts w:eastAsia="Times New Roman"/>
                <w:bCs/>
                <w:color w:val="000000"/>
                <w:sz w:val="18"/>
                <w:szCs w:val="18"/>
                <w:lang w:eastAsia="es-CO"/>
              </w:rPr>
              <w:t>RECUPERACIÓN DEL RECURSO BOSCOSO</w:t>
            </w:r>
          </w:p>
        </w:tc>
      </w:tr>
      <w:tr w:rsidR="00E436EA" w:rsidRPr="00E436EA" w:rsidTr="004B49C5">
        <w:trPr>
          <w:trHeight w:val="113"/>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noWrap/>
            <w:vAlign w:val="center"/>
            <w:hideMark/>
          </w:tcPr>
          <w:p w:rsidR="00E436EA" w:rsidRPr="00E436EA" w:rsidRDefault="00E436EA" w:rsidP="004B49C5">
            <w:pPr>
              <w:spacing w:line="240" w:lineRule="auto"/>
              <w:contextualSpacing w:val="0"/>
              <w:jc w:val="center"/>
              <w:rPr>
                <w:rFonts w:eastAsia="Times New Roman"/>
                <w:b/>
                <w:bCs/>
                <w:color w:val="000000"/>
                <w:sz w:val="18"/>
                <w:szCs w:val="18"/>
                <w:lang w:eastAsia="es-CO"/>
              </w:rPr>
            </w:pPr>
            <w:r w:rsidRPr="00E436EA">
              <w:rPr>
                <w:rFonts w:eastAsia="Times New Roman"/>
                <w:b/>
                <w:bCs/>
                <w:color w:val="000000"/>
                <w:sz w:val="18"/>
                <w:szCs w:val="18"/>
                <w:lang w:eastAsia="es-CO"/>
              </w:rPr>
              <w:t>Cobertura</w:t>
            </w:r>
          </w:p>
        </w:tc>
        <w:tc>
          <w:tcPr>
            <w:tcW w:w="0" w:type="auto"/>
            <w:noWrap/>
            <w:vAlign w:val="center"/>
            <w:hideMark/>
          </w:tcPr>
          <w:p w:rsidR="00E436EA" w:rsidRPr="00E436EA" w:rsidRDefault="00E436EA"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E436EA">
              <w:rPr>
                <w:rFonts w:eastAsia="Times New Roman"/>
                <w:b/>
                <w:bCs/>
                <w:color w:val="000000"/>
                <w:sz w:val="18"/>
                <w:szCs w:val="18"/>
                <w:lang w:eastAsia="es-CO"/>
              </w:rPr>
              <w:t>(Ha)*</w:t>
            </w:r>
          </w:p>
        </w:tc>
        <w:tc>
          <w:tcPr>
            <w:tcW w:w="0" w:type="auto"/>
            <w:noWrap/>
            <w:vAlign w:val="center"/>
            <w:hideMark/>
          </w:tcPr>
          <w:p w:rsidR="00E436EA" w:rsidRPr="00E436EA" w:rsidRDefault="00E436EA"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E436EA">
              <w:rPr>
                <w:rFonts w:eastAsia="Times New Roman"/>
                <w:b/>
                <w:bCs/>
                <w:color w:val="000000"/>
                <w:sz w:val="18"/>
                <w:szCs w:val="18"/>
                <w:lang w:eastAsia="es-CO"/>
              </w:rPr>
              <w:t>Valor por Ha**</w:t>
            </w:r>
          </w:p>
        </w:tc>
        <w:tc>
          <w:tcPr>
            <w:tcW w:w="0" w:type="auto"/>
            <w:noWrap/>
            <w:vAlign w:val="center"/>
            <w:hideMark/>
          </w:tcPr>
          <w:p w:rsidR="00E436EA" w:rsidRPr="00E436EA" w:rsidRDefault="00E436EA"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E436EA">
              <w:rPr>
                <w:rFonts w:eastAsia="Times New Roman"/>
                <w:b/>
                <w:bCs/>
                <w:color w:val="000000"/>
                <w:sz w:val="18"/>
                <w:szCs w:val="18"/>
                <w:lang w:eastAsia="es-CO"/>
              </w:rPr>
              <w:t>Valor Total</w:t>
            </w:r>
          </w:p>
        </w:tc>
      </w:tr>
      <w:tr w:rsidR="00E436EA" w:rsidRPr="00E436EA" w:rsidTr="004B49C5">
        <w:trPr>
          <w:trHeight w:val="113"/>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vAlign w:val="center"/>
            <w:hideMark/>
          </w:tcPr>
          <w:p w:rsidR="00E436EA" w:rsidRPr="00E436EA" w:rsidRDefault="00E436EA" w:rsidP="004B49C5">
            <w:pPr>
              <w:spacing w:line="240" w:lineRule="auto"/>
              <w:contextualSpacing w:val="0"/>
              <w:jc w:val="center"/>
              <w:rPr>
                <w:rFonts w:eastAsia="Times New Roman"/>
                <w:sz w:val="18"/>
                <w:szCs w:val="18"/>
                <w:lang w:eastAsia="es-CO"/>
              </w:rPr>
            </w:pPr>
            <w:r w:rsidRPr="00E436EA">
              <w:rPr>
                <w:rFonts w:eastAsia="Times New Roman"/>
                <w:sz w:val="18"/>
                <w:szCs w:val="18"/>
                <w:lang w:eastAsia="es-CO"/>
              </w:rPr>
              <w:t>Compensación por Pérdida de Biodiversidad</w:t>
            </w:r>
          </w:p>
        </w:tc>
        <w:tc>
          <w:tcPr>
            <w:tcW w:w="0" w:type="auto"/>
            <w:noWrap/>
            <w:vAlign w:val="center"/>
            <w:hideMark/>
          </w:tcPr>
          <w:p w:rsidR="00E436EA" w:rsidRPr="00E436EA" w:rsidRDefault="00E436EA"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E436EA">
              <w:rPr>
                <w:rFonts w:eastAsia="Times New Roman"/>
                <w:sz w:val="18"/>
                <w:szCs w:val="18"/>
                <w:lang w:eastAsia="es-CO"/>
              </w:rPr>
              <w:t>39,10</w:t>
            </w:r>
          </w:p>
        </w:tc>
        <w:tc>
          <w:tcPr>
            <w:tcW w:w="0" w:type="auto"/>
            <w:noWrap/>
            <w:vAlign w:val="center"/>
            <w:hideMark/>
          </w:tcPr>
          <w:p w:rsidR="00E436EA" w:rsidRPr="00E436EA" w:rsidRDefault="00E436EA"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 xml:space="preserve">                      2.297.695 </w:t>
            </w:r>
          </w:p>
        </w:tc>
        <w:tc>
          <w:tcPr>
            <w:tcW w:w="0" w:type="auto"/>
            <w:noWrap/>
            <w:vAlign w:val="center"/>
            <w:hideMark/>
          </w:tcPr>
          <w:p w:rsidR="00E436EA" w:rsidRPr="00E436EA" w:rsidRDefault="00E436EA"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E436EA">
              <w:rPr>
                <w:rFonts w:eastAsia="Times New Roman"/>
                <w:color w:val="000000"/>
                <w:sz w:val="18"/>
                <w:szCs w:val="18"/>
                <w:lang w:eastAsia="es-CO"/>
              </w:rPr>
              <w:t xml:space="preserve">                    89.839.875 </w:t>
            </w:r>
          </w:p>
        </w:tc>
      </w:tr>
      <w:tr w:rsidR="00E436EA" w:rsidRPr="00E436EA" w:rsidTr="004B49C5">
        <w:trPr>
          <w:trHeight w:val="113"/>
        </w:trPr>
        <w:tc>
          <w:tcPr>
            <w:cnfStyle w:val="001000000000" w:firstRow="0" w:lastRow="0" w:firstColumn="1" w:lastColumn="0" w:oddVBand="0" w:evenVBand="0" w:oddHBand="0" w:evenHBand="0" w:firstRowFirstColumn="0" w:firstRowLastColumn="0" w:lastRowFirstColumn="0" w:lastRowLastColumn="0"/>
            <w:tcW w:w="0" w:type="auto"/>
            <w:gridSpan w:val="3"/>
            <w:tcBorders>
              <w:left w:val="none" w:sz="0" w:space="0" w:color="auto"/>
            </w:tcBorders>
            <w:shd w:val="clear" w:color="auto" w:fill="F2F2F2" w:themeFill="background1" w:themeFillShade="F2"/>
            <w:vAlign w:val="center"/>
            <w:hideMark/>
          </w:tcPr>
          <w:p w:rsidR="00E436EA" w:rsidRPr="00E436EA" w:rsidRDefault="00E436EA" w:rsidP="004B49C5">
            <w:pPr>
              <w:spacing w:line="240" w:lineRule="auto"/>
              <w:contextualSpacing w:val="0"/>
              <w:jc w:val="center"/>
              <w:rPr>
                <w:rFonts w:eastAsia="Times New Roman"/>
                <w:b/>
                <w:bCs/>
                <w:sz w:val="18"/>
                <w:szCs w:val="18"/>
                <w:lang w:eastAsia="es-CO"/>
              </w:rPr>
            </w:pPr>
            <w:r w:rsidRPr="00E436EA">
              <w:rPr>
                <w:rFonts w:eastAsia="Times New Roman"/>
                <w:b/>
                <w:bCs/>
                <w:sz w:val="18"/>
                <w:szCs w:val="18"/>
                <w:lang w:eastAsia="es-CO"/>
              </w:rPr>
              <w:t>Total</w:t>
            </w:r>
          </w:p>
        </w:tc>
        <w:tc>
          <w:tcPr>
            <w:tcW w:w="0" w:type="auto"/>
            <w:shd w:val="clear" w:color="auto" w:fill="F2F2F2" w:themeFill="background1" w:themeFillShade="F2"/>
            <w:noWrap/>
            <w:vAlign w:val="center"/>
            <w:hideMark/>
          </w:tcPr>
          <w:p w:rsidR="00E436EA" w:rsidRPr="00E436EA" w:rsidRDefault="00E436EA"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E436EA">
              <w:rPr>
                <w:rFonts w:eastAsia="Times New Roman"/>
                <w:b/>
                <w:bCs/>
                <w:color w:val="000000"/>
                <w:sz w:val="18"/>
                <w:szCs w:val="18"/>
                <w:lang w:eastAsia="es-CO"/>
              </w:rPr>
              <w:t xml:space="preserve">                   89.839.875 </w:t>
            </w:r>
          </w:p>
        </w:tc>
      </w:tr>
      <w:tr w:rsidR="00E436EA" w:rsidRPr="00E436EA" w:rsidTr="004B49C5">
        <w:trPr>
          <w:trHeight w:val="113"/>
        </w:trPr>
        <w:tc>
          <w:tcPr>
            <w:cnfStyle w:val="001000000000" w:firstRow="0" w:lastRow="0" w:firstColumn="1" w:lastColumn="0" w:oddVBand="0" w:evenVBand="0" w:oddHBand="0" w:evenHBand="0" w:firstRowFirstColumn="0" w:firstRowLastColumn="0" w:lastRowFirstColumn="0" w:lastRowLastColumn="0"/>
            <w:tcW w:w="0" w:type="auto"/>
            <w:gridSpan w:val="3"/>
            <w:tcBorders>
              <w:left w:val="none" w:sz="0" w:space="0" w:color="auto"/>
            </w:tcBorders>
            <w:vAlign w:val="center"/>
            <w:hideMark/>
          </w:tcPr>
          <w:p w:rsidR="00E436EA" w:rsidRPr="00E436EA" w:rsidRDefault="00E436EA" w:rsidP="004B49C5">
            <w:pPr>
              <w:spacing w:line="240" w:lineRule="auto"/>
              <w:contextualSpacing w:val="0"/>
              <w:jc w:val="center"/>
              <w:rPr>
                <w:rFonts w:eastAsia="Times New Roman"/>
                <w:sz w:val="18"/>
                <w:szCs w:val="18"/>
                <w:lang w:eastAsia="es-CO"/>
              </w:rPr>
            </w:pPr>
            <w:r w:rsidRPr="00E436EA">
              <w:rPr>
                <w:rFonts w:eastAsia="Times New Roman"/>
                <w:sz w:val="18"/>
                <w:szCs w:val="18"/>
                <w:lang w:eastAsia="es-CO"/>
              </w:rPr>
              <w:t>Valor Presente Neto ($)</w:t>
            </w:r>
          </w:p>
        </w:tc>
        <w:tc>
          <w:tcPr>
            <w:tcW w:w="0" w:type="auto"/>
            <w:vAlign w:val="center"/>
            <w:hideMark/>
          </w:tcPr>
          <w:p w:rsidR="00E436EA" w:rsidRPr="00E436EA" w:rsidRDefault="00E436EA"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E436EA">
              <w:rPr>
                <w:rFonts w:eastAsia="Times New Roman"/>
                <w:sz w:val="18"/>
                <w:szCs w:val="18"/>
                <w:lang w:eastAsia="es-CO"/>
              </w:rPr>
              <w:t>80.214.174</w:t>
            </w:r>
          </w:p>
        </w:tc>
      </w:tr>
    </w:tbl>
    <w:p w:rsidR="00370CFB" w:rsidRDefault="00370CFB" w:rsidP="00370CFB">
      <w:pPr>
        <w:pStyle w:val="Notas"/>
        <w:rPr>
          <w:rFonts w:asciiTheme="majorHAnsi" w:hAnsiTheme="majorHAnsi"/>
        </w:rPr>
      </w:pPr>
      <w:r w:rsidRPr="00AA0A2C">
        <w:rPr>
          <w:rFonts w:asciiTheme="majorHAnsi" w:hAnsiTheme="majorHAnsi"/>
        </w:rPr>
        <w:t>Fuente: Autopista Rio Magdalena S.A.S., 2016.</w:t>
      </w:r>
    </w:p>
    <w:p w:rsidR="004B49C5" w:rsidRDefault="004B49C5">
      <w:pPr>
        <w:spacing w:line="240" w:lineRule="auto"/>
        <w:contextualSpacing w:val="0"/>
        <w:jc w:val="left"/>
        <w:rPr>
          <w:b/>
          <w:bCs/>
          <w:sz w:val="20"/>
          <w:szCs w:val="20"/>
        </w:rPr>
      </w:pPr>
    </w:p>
    <w:p w:rsidR="004B49C5" w:rsidRDefault="004B49C5" w:rsidP="004B49C5">
      <w:pPr>
        <w:pStyle w:val="Tablas"/>
        <w:rPr>
          <w:rFonts w:asciiTheme="majorHAnsi" w:hAnsiTheme="majorHAnsi"/>
        </w:rPr>
      </w:pPr>
      <w:r>
        <w:t xml:space="preserve">Tabla </w:t>
      </w:r>
      <w:r w:rsidR="006D0D6E">
        <w:fldChar w:fldCharType="begin"/>
      </w:r>
      <w:r w:rsidR="006D0D6E">
        <w:instrText xml:space="preserve"> STYLEREF 1 \s </w:instrText>
      </w:r>
      <w:r w:rsidR="006D0D6E">
        <w:fldChar w:fldCharType="separate"/>
      </w:r>
      <w:r w:rsidR="006D0D6E">
        <w:rPr>
          <w:noProof/>
        </w:rPr>
        <w:t>10</w:t>
      </w:r>
      <w:r w:rsidR="006D0D6E">
        <w:fldChar w:fldCharType="end"/>
      </w:r>
      <w:r w:rsidR="006D0D6E">
        <w:t>.</w:t>
      </w:r>
      <w:r w:rsidR="006D0D6E">
        <w:fldChar w:fldCharType="begin"/>
      </w:r>
      <w:r w:rsidR="006D0D6E">
        <w:instrText xml:space="preserve"> SEQ Tabla \* ARABIC \s 1 </w:instrText>
      </w:r>
      <w:r w:rsidR="006D0D6E">
        <w:fldChar w:fldCharType="separate"/>
      </w:r>
      <w:r w:rsidR="006D0D6E">
        <w:rPr>
          <w:noProof/>
        </w:rPr>
        <w:t>25</w:t>
      </w:r>
      <w:r w:rsidR="006D0D6E">
        <w:fldChar w:fldCharType="end"/>
      </w:r>
      <w:r>
        <w:t xml:space="preserve"> </w:t>
      </w:r>
      <w:r w:rsidRPr="00AA0A2C">
        <w:rPr>
          <w:rFonts w:asciiTheme="majorHAnsi" w:hAnsiTheme="majorHAnsi"/>
        </w:rPr>
        <w:t>Compensación del Régimen de Escorrentía</w:t>
      </w:r>
    </w:p>
    <w:tbl>
      <w:tblPr>
        <w:tblStyle w:val="Gminis"/>
        <w:tblW w:w="5000" w:type="pct"/>
        <w:tblLook w:val="04A0" w:firstRow="1" w:lastRow="0" w:firstColumn="1" w:lastColumn="0" w:noHBand="0" w:noVBand="1"/>
      </w:tblPr>
      <w:tblGrid>
        <w:gridCol w:w="2594"/>
        <w:gridCol w:w="1449"/>
        <w:gridCol w:w="1322"/>
        <w:gridCol w:w="1421"/>
        <w:gridCol w:w="1475"/>
      </w:tblGrid>
      <w:tr w:rsidR="004B49C5" w:rsidRPr="004B49C5" w:rsidTr="00A243FB">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gridSpan w:val="5"/>
            <w:tcBorders>
              <w:top w:val="none" w:sz="0" w:space="0" w:color="auto"/>
              <w:left w:val="none" w:sz="0" w:space="0" w:color="auto"/>
              <w:bottom w:val="none" w:sz="0" w:space="0" w:color="auto"/>
              <w:right w:val="none" w:sz="0" w:space="0" w:color="auto"/>
            </w:tcBorders>
            <w:noWrap/>
            <w:vAlign w:val="center"/>
            <w:hideMark/>
          </w:tcPr>
          <w:p w:rsidR="004B49C5" w:rsidRPr="004B49C5" w:rsidRDefault="004B49C5" w:rsidP="004B49C5">
            <w:pPr>
              <w:spacing w:line="240" w:lineRule="auto"/>
              <w:contextualSpacing w:val="0"/>
              <w:jc w:val="center"/>
              <w:rPr>
                <w:rFonts w:eastAsia="Times New Roman"/>
                <w:b w:val="0"/>
                <w:bCs/>
                <w:color w:val="000000"/>
                <w:sz w:val="18"/>
                <w:szCs w:val="18"/>
                <w:lang w:eastAsia="es-CO"/>
              </w:rPr>
            </w:pPr>
            <w:r w:rsidRPr="004B49C5">
              <w:rPr>
                <w:rFonts w:eastAsia="Times New Roman"/>
                <w:bCs/>
                <w:color w:val="000000"/>
                <w:sz w:val="18"/>
                <w:szCs w:val="18"/>
                <w:lang w:eastAsia="es-CO"/>
              </w:rPr>
              <w:t>COMPENSACIÓN DEL RÉGIMEN DE ESCORRENTÍA EN CONSTRUCCIÓN</w:t>
            </w:r>
          </w:p>
        </w:tc>
      </w:tr>
      <w:tr w:rsidR="004B49C5" w:rsidRPr="004B49C5" w:rsidTr="004B49C5">
        <w:trPr>
          <w:trHeight w:val="20"/>
        </w:trPr>
        <w:tc>
          <w:tcPr>
            <w:cnfStyle w:val="001000000000" w:firstRow="0" w:lastRow="0" w:firstColumn="1" w:lastColumn="0" w:oddVBand="0" w:evenVBand="0" w:oddHBand="0" w:evenHBand="0" w:firstRowFirstColumn="0" w:firstRowLastColumn="0" w:lastRowFirstColumn="0" w:lastRowLastColumn="0"/>
            <w:tcW w:w="1570" w:type="pct"/>
            <w:vMerge w:val="restart"/>
            <w:tcBorders>
              <w:left w:val="none" w:sz="0" w:space="0" w:color="auto"/>
            </w:tcBorders>
            <w:vAlign w:val="center"/>
            <w:hideMark/>
          </w:tcPr>
          <w:p w:rsidR="004B49C5" w:rsidRPr="004B49C5" w:rsidRDefault="004B49C5" w:rsidP="004B49C5">
            <w:pPr>
              <w:spacing w:line="240" w:lineRule="auto"/>
              <w:contextualSpacing w:val="0"/>
              <w:jc w:val="center"/>
              <w:rPr>
                <w:rFonts w:eastAsia="Times New Roman"/>
                <w:b/>
                <w:bCs/>
                <w:color w:val="000000"/>
                <w:sz w:val="18"/>
                <w:szCs w:val="18"/>
                <w:lang w:eastAsia="es-CO"/>
              </w:rPr>
            </w:pPr>
            <w:r w:rsidRPr="004B49C5">
              <w:rPr>
                <w:rFonts w:eastAsia="Times New Roman"/>
                <w:b/>
                <w:bCs/>
                <w:color w:val="000000"/>
                <w:sz w:val="18"/>
                <w:szCs w:val="18"/>
                <w:lang w:eastAsia="es-CO"/>
              </w:rPr>
              <w:t>Componente biótico</w:t>
            </w:r>
          </w:p>
        </w:tc>
        <w:tc>
          <w:tcPr>
            <w:tcW w:w="1677" w:type="pct"/>
            <w:gridSpan w:val="2"/>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4B49C5">
              <w:rPr>
                <w:rFonts w:eastAsia="Times New Roman"/>
                <w:b/>
                <w:bCs/>
                <w:color w:val="000000"/>
                <w:sz w:val="18"/>
                <w:szCs w:val="18"/>
                <w:lang w:eastAsia="es-CO"/>
              </w:rPr>
              <w:t>Cobertura vegetal</w:t>
            </w:r>
          </w:p>
        </w:tc>
        <w:tc>
          <w:tcPr>
            <w:tcW w:w="860" w:type="pct"/>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4B49C5">
              <w:rPr>
                <w:rFonts w:eastAsia="Times New Roman"/>
                <w:b/>
                <w:bCs/>
                <w:color w:val="000000"/>
                <w:sz w:val="18"/>
                <w:szCs w:val="18"/>
                <w:lang w:eastAsia="es-CO"/>
              </w:rPr>
              <w:t>Ha a compensar</w:t>
            </w:r>
          </w:p>
        </w:tc>
        <w:tc>
          <w:tcPr>
            <w:tcW w:w="893" w:type="pct"/>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4B49C5">
              <w:rPr>
                <w:rFonts w:eastAsia="Times New Roman"/>
                <w:b/>
                <w:bCs/>
                <w:color w:val="000000"/>
                <w:sz w:val="18"/>
                <w:szCs w:val="18"/>
                <w:lang w:eastAsia="es-CO"/>
              </w:rPr>
              <w:t>VALOR TOTAL ($)</w:t>
            </w:r>
          </w:p>
        </w:tc>
      </w:tr>
      <w:tr w:rsidR="004B49C5" w:rsidRPr="004B49C5" w:rsidTr="00A243FB">
        <w:trPr>
          <w:trHeight w:val="20"/>
        </w:trPr>
        <w:tc>
          <w:tcPr>
            <w:cnfStyle w:val="001000000000" w:firstRow="0" w:lastRow="0" w:firstColumn="1" w:lastColumn="0" w:oddVBand="0" w:evenVBand="0" w:oddHBand="0" w:evenHBand="0" w:firstRowFirstColumn="0" w:firstRowLastColumn="0" w:lastRowFirstColumn="0" w:lastRowLastColumn="0"/>
            <w:tcW w:w="1570" w:type="pct"/>
            <w:vMerge/>
            <w:tcBorders>
              <w:left w:val="none" w:sz="0" w:space="0" w:color="auto"/>
            </w:tcBorders>
            <w:vAlign w:val="center"/>
            <w:hideMark/>
          </w:tcPr>
          <w:p w:rsidR="004B49C5" w:rsidRPr="004B49C5" w:rsidRDefault="004B49C5" w:rsidP="004B49C5">
            <w:pPr>
              <w:spacing w:line="240" w:lineRule="auto"/>
              <w:contextualSpacing w:val="0"/>
              <w:jc w:val="center"/>
              <w:rPr>
                <w:rFonts w:eastAsia="Times New Roman"/>
                <w:b/>
                <w:bCs/>
                <w:color w:val="000000"/>
                <w:sz w:val="18"/>
                <w:szCs w:val="18"/>
                <w:lang w:eastAsia="es-CO"/>
              </w:rPr>
            </w:pPr>
          </w:p>
        </w:tc>
        <w:tc>
          <w:tcPr>
            <w:tcW w:w="1677" w:type="pct"/>
            <w:gridSpan w:val="2"/>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4B49C5">
              <w:rPr>
                <w:rFonts w:eastAsia="Times New Roman"/>
                <w:b/>
                <w:bCs/>
                <w:color w:val="000000"/>
                <w:sz w:val="18"/>
                <w:szCs w:val="18"/>
                <w:lang w:eastAsia="es-CO"/>
              </w:rPr>
              <w:t>Nº Hectáreas</w:t>
            </w:r>
          </w:p>
        </w:tc>
        <w:tc>
          <w:tcPr>
            <w:tcW w:w="860" w:type="pct"/>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39,10</w:t>
            </w:r>
          </w:p>
        </w:tc>
        <w:tc>
          <w:tcPr>
            <w:tcW w:w="893" w:type="pct"/>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39,10</w:t>
            </w:r>
          </w:p>
        </w:tc>
      </w:tr>
      <w:tr w:rsidR="004B49C5" w:rsidRPr="004B49C5" w:rsidTr="004B49C5">
        <w:trPr>
          <w:trHeight w:val="20"/>
        </w:trPr>
        <w:tc>
          <w:tcPr>
            <w:cnfStyle w:val="001000000000" w:firstRow="0" w:lastRow="0" w:firstColumn="1" w:lastColumn="0" w:oddVBand="0" w:evenVBand="0" w:oddHBand="0" w:evenHBand="0" w:firstRowFirstColumn="0" w:firstRowLastColumn="0" w:lastRowFirstColumn="0" w:lastRowLastColumn="0"/>
            <w:tcW w:w="1570" w:type="pct"/>
            <w:vMerge w:val="restart"/>
            <w:tcBorders>
              <w:left w:val="none" w:sz="0" w:space="0" w:color="auto"/>
            </w:tcBorders>
            <w:vAlign w:val="center"/>
            <w:hideMark/>
          </w:tcPr>
          <w:p w:rsidR="004B49C5" w:rsidRPr="004B49C5" w:rsidRDefault="004B49C5" w:rsidP="004B49C5">
            <w:pPr>
              <w:spacing w:line="240" w:lineRule="auto"/>
              <w:contextualSpacing w:val="0"/>
              <w:jc w:val="center"/>
              <w:rPr>
                <w:rFonts w:eastAsia="Times New Roman"/>
                <w:b/>
                <w:bCs/>
                <w:color w:val="000000"/>
                <w:sz w:val="18"/>
                <w:szCs w:val="18"/>
                <w:lang w:eastAsia="es-CO"/>
              </w:rPr>
            </w:pPr>
            <w:r w:rsidRPr="004B49C5">
              <w:rPr>
                <w:rFonts w:eastAsia="Times New Roman"/>
                <w:b/>
                <w:bCs/>
                <w:color w:val="000000"/>
                <w:sz w:val="18"/>
                <w:szCs w:val="18"/>
                <w:lang w:eastAsia="es-CO"/>
              </w:rPr>
              <w:t>Compensación del régimen de escorrentía</w:t>
            </w:r>
          </w:p>
        </w:tc>
        <w:tc>
          <w:tcPr>
            <w:tcW w:w="877" w:type="pct"/>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Regulación hídrica</w:t>
            </w:r>
          </w:p>
        </w:tc>
        <w:tc>
          <w:tcPr>
            <w:tcW w:w="800" w:type="pct"/>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26.000 m</w:t>
            </w:r>
            <w:r w:rsidRPr="004B49C5">
              <w:rPr>
                <w:rFonts w:eastAsia="Times New Roman"/>
                <w:color w:val="000000"/>
                <w:sz w:val="18"/>
                <w:szCs w:val="18"/>
                <w:vertAlign w:val="superscript"/>
                <w:lang w:eastAsia="es-CO"/>
              </w:rPr>
              <w:t>3</w:t>
            </w:r>
            <w:r w:rsidRPr="004B49C5">
              <w:rPr>
                <w:rFonts w:eastAsia="Times New Roman"/>
                <w:color w:val="000000"/>
                <w:sz w:val="18"/>
                <w:szCs w:val="18"/>
                <w:lang w:eastAsia="es-CO"/>
              </w:rPr>
              <w:t>/ha-año *</w:t>
            </w:r>
          </w:p>
        </w:tc>
        <w:tc>
          <w:tcPr>
            <w:tcW w:w="860" w:type="pct"/>
            <w:noWrap/>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1.016.600</w:t>
            </w:r>
          </w:p>
        </w:tc>
        <w:tc>
          <w:tcPr>
            <w:tcW w:w="893" w:type="pct"/>
            <w:noWrap/>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1.016.600</w:t>
            </w:r>
          </w:p>
        </w:tc>
      </w:tr>
      <w:tr w:rsidR="004B49C5" w:rsidRPr="004B49C5" w:rsidTr="004B49C5">
        <w:trPr>
          <w:trHeight w:val="20"/>
        </w:trPr>
        <w:tc>
          <w:tcPr>
            <w:cnfStyle w:val="001000000000" w:firstRow="0" w:lastRow="0" w:firstColumn="1" w:lastColumn="0" w:oddVBand="0" w:evenVBand="0" w:oddHBand="0" w:evenHBand="0" w:firstRowFirstColumn="0" w:firstRowLastColumn="0" w:lastRowFirstColumn="0" w:lastRowLastColumn="0"/>
            <w:tcW w:w="1570" w:type="pct"/>
            <w:vMerge/>
            <w:tcBorders>
              <w:left w:val="none" w:sz="0" w:space="0" w:color="auto"/>
            </w:tcBorders>
            <w:vAlign w:val="center"/>
            <w:hideMark/>
          </w:tcPr>
          <w:p w:rsidR="004B49C5" w:rsidRPr="004B49C5" w:rsidRDefault="004B49C5" w:rsidP="004B49C5">
            <w:pPr>
              <w:spacing w:line="240" w:lineRule="auto"/>
              <w:contextualSpacing w:val="0"/>
              <w:jc w:val="center"/>
              <w:rPr>
                <w:rFonts w:eastAsia="Times New Roman"/>
                <w:b/>
                <w:bCs/>
                <w:color w:val="000000"/>
                <w:sz w:val="18"/>
                <w:szCs w:val="18"/>
                <w:lang w:eastAsia="es-CO"/>
              </w:rPr>
            </w:pPr>
          </w:p>
        </w:tc>
        <w:tc>
          <w:tcPr>
            <w:tcW w:w="1677" w:type="pct"/>
            <w:gridSpan w:val="2"/>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Valor m</w:t>
            </w:r>
            <w:r w:rsidRPr="004B49C5">
              <w:rPr>
                <w:rFonts w:eastAsia="Times New Roman"/>
                <w:color w:val="000000"/>
                <w:sz w:val="18"/>
                <w:szCs w:val="18"/>
                <w:vertAlign w:val="superscript"/>
                <w:lang w:eastAsia="es-CO"/>
              </w:rPr>
              <w:t>3</w:t>
            </w:r>
            <w:r w:rsidRPr="004B49C5">
              <w:rPr>
                <w:rFonts w:eastAsia="Times New Roman"/>
                <w:color w:val="000000"/>
                <w:sz w:val="18"/>
                <w:szCs w:val="18"/>
                <w:lang w:eastAsia="es-CO"/>
              </w:rPr>
              <w:t>($) **</w:t>
            </w:r>
          </w:p>
        </w:tc>
        <w:tc>
          <w:tcPr>
            <w:tcW w:w="860" w:type="pct"/>
            <w:noWrap/>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132,01</w:t>
            </w:r>
          </w:p>
        </w:tc>
        <w:tc>
          <w:tcPr>
            <w:tcW w:w="893" w:type="pct"/>
            <w:noWrap/>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132,01</w:t>
            </w:r>
          </w:p>
        </w:tc>
      </w:tr>
      <w:tr w:rsidR="004B49C5" w:rsidRPr="004B49C5" w:rsidTr="00A243FB">
        <w:trPr>
          <w:trHeight w:val="20"/>
        </w:trPr>
        <w:tc>
          <w:tcPr>
            <w:cnfStyle w:val="001000000000" w:firstRow="0" w:lastRow="0" w:firstColumn="1" w:lastColumn="0" w:oddVBand="0" w:evenVBand="0" w:oddHBand="0" w:evenHBand="0" w:firstRowFirstColumn="0" w:firstRowLastColumn="0" w:lastRowFirstColumn="0" w:lastRowLastColumn="0"/>
            <w:tcW w:w="1570" w:type="pct"/>
            <w:vMerge/>
            <w:tcBorders>
              <w:left w:val="none" w:sz="0" w:space="0" w:color="auto"/>
            </w:tcBorders>
            <w:vAlign w:val="center"/>
            <w:hideMark/>
          </w:tcPr>
          <w:p w:rsidR="004B49C5" w:rsidRPr="004B49C5" w:rsidRDefault="004B49C5" w:rsidP="004B49C5">
            <w:pPr>
              <w:spacing w:line="240" w:lineRule="auto"/>
              <w:contextualSpacing w:val="0"/>
              <w:jc w:val="center"/>
              <w:rPr>
                <w:rFonts w:eastAsia="Times New Roman"/>
                <w:b/>
                <w:bCs/>
                <w:color w:val="000000"/>
                <w:sz w:val="18"/>
                <w:szCs w:val="18"/>
                <w:lang w:eastAsia="es-CO"/>
              </w:rPr>
            </w:pPr>
          </w:p>
        </w:tc>
        <w:tc>
          <w:tcPr>
            <w:tcW w:w="1677" w:type="pct"/>
            <w:gridSpan w:val="2"/>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 xml:space="preserve">Valor anual Pesos </w:t>
            </w:r>
          </w:p>
        </w:tc>
        <w:tc>
          <w:tcPr>
            <w:tcW w:w="860" w:type="pct"/>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134.201.366</w:t>
            </w:r>
          </w:p>
        </w:tc>
        <w:tc>
          <w:tcPr>
            <w:tcW w:w="893" w:type="pct"/>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134.201.366</w:t>
            </w:r>
          </w:p>
        </w:tc>
      </w:tr>
      <w:tr w:rsidR="004B49C5" w:rsidRPr="004B49C5" w:rsidTr="00A243FB">
        <w:trPr>
          <w:trHeight w:val="20"/>
        </w:trPr>
        <w:tc>
          <w:tcPr>
            <w:cnfStyle w:val="001000000000" w:firstRow="0" w:lastRow="0" w:firstColumn="1" w:lastColumn="0" w:oddVBand="0" w:evenVBand="0" w:oddHBand="0" w:evenHBand="0" w:firstRowFirstColumn="0" w:firstRowLastColumn="0" w:lastRowFirstColumn="0" w:lastRowLastColumn="0"/>
            <w:tcW w:w="1570" w:type="pct"/>
            <w:vMerge/>
            <w:tcBorders>
              <w:left w:val="none" w:sz="0" w:space="0" w:color="auto"/>
            </w:tcBorders>
            <w:vAlign w:val="center"/>
            <w:hideMark/>
          </w:tcPr>
          <w:p w:rsidR="004B49C5" w:rsidRPr="004B49C5" w:rsidRDefault="004B49C5" w:rsidP="004B49C5">
            <w:pPr>
              <w:spacing w:line="240" w:lineRule="auto"/>
              <w:contextualSpacing w:val="0"/>
              <w:jc w:val="center"/>
              <w:rPr>
                <w:rFonts w:eastAsia="Times New Roman"/>
                <w:b/>
                <w:bCs/>
                <w:color w:val="000000"/>
                <w:sz w:val="18"/>
                <w:szCs w:val="18"/>
                <w:lang w:eastAsia="es-CO"/>
              </w:rPr>
            </w:pPr>
          </w:p>
        </w:tc>
        <w:tc>
          <w:tcPr>
            <w:tcW w:w="1677" w:type="pct"/>
            <w:gridSpan w:val="2"/>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Años establecimiento***</w:t>
            </w:r>
          </w:p>
        </w:tc>
        <w:tc>
          <w:tcPr>
            <w:tcW w:w="860" w:type="pct"/>
            <w:noWrap/>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5</w:t>
            </w:r>
          </w:p>
        </w:tc>
        <w:tc>
          <w:tcPr>
            <w:tcW w:w="893" w:type="pct"/>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5</w:t>
            </w:r>
          </w:p>
        </w:tc>
      </w:tr>
      <w:tr w:rsidR="004B49C5" w:rsidRPr="004B49C5" w:rsidTr="004B49C5">
        <w:trPr>
          <w:trHeight w:val="20"/>
        </w:trPr>
        <w:tc>
          <w:tcPr>
            <w:cnfStyle w:val="001000000000" w:firstRow="0" w:lastRow="0" w:firstColumn="1" w:lastColumn="0" w:oddVBand="0" w:evenVBand="0" w:oddHBand="0" w:evenHBand="0" w:firstRowFirstColumn="0" w:firstRowLastColumn="0" w:lastRowFirstColumn="0" w:lastRowLastColumn="0"/>
            <w:tcW w:w="1570" w:type="pct"/>
            <w:vMerge/>
            <w:tcBorders>
              <w:left w:val="none" w:sz="0" w:space="0" w:color="auto"/>
            </w:tcBorders>
            <w:vAlign w:val="center"/>
            <w:hideMark/>
          </w:tcPr>
          <w:p w:rsidR="004B49C5" w:rsidRPr="004B49C5" w:rsidRDefault="004B49C5" w:rsidP="004B49C5">
            <w:pPr>
              <w:spacing w:line="240" w:lineRule="auto"/>
              <w:contextualSpacing w:val="0"/>
              <w:jc w:val="center"/>
              <w:rPr>
                <w:rFonts w:eastAsia="Times New Roman"/>
                <w:b/>
                <w:bCs/>
                <w:color w:val="000000"/>
                <w:sz w:val="18"/>
                <w:szCs w:val="18"/>
                <w:lang w:eastAsia="es-CO"/>
              </w:rPr>
            </w:pPr>
          </w:p>
        </w:tc>
        <w:tc>
          <w:tcPr>
            <w:tcW w:w="1677" w:type="pct"/>
            <w:gridSpan w:val="2"/>
            <w:shd w:val="clear" w:color="auto" w:fill="F2F2F2" w:themeFill="background1" w:themeFillShade="F2"/>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4B49C5">
              <w:rPr>
                <w:rFonts w:eastAsia="Times New Roman"/>
                <w:b/>
                <w:bCs/>
                <w:color w:val="000000"/>
                <w:sz w:val="18"/>
                <w:szCs w:val="18"/>
                <w:lang w:eastAsia="es-CO"/>
              </w:rPr>
              <w:t>Valor Total Pesos ($)</w:t>
            </w:r>
          </w:p>
        </w:tc>
        <w:tc>
          <w:tcPr>
            <w:tcW w:w="860" w:type="pct"/>
            <w:shd w:val="clear" w:color="auto" w:fill="F2F2F2" w:themeFill="background1" w:themeFillShade="F2"/>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4B49C5">
              <w:rPr>
                <w:rFonts w:eastAsia="Times New Roman"/>
                <w:b/>
                <w:bCs/>
                <w:color w:val="000000"/>
                <w:sz w:val="18"/>
                <w:szCs w:val="18"/>
                <w:lang w:eastAsia="es-CO"/>
              </w:rPr>
              <w:t>671.006.830</w:t>
            </w:r>
          </w:p>
        </w:tc>
        <w:tc>
          <w:tcPr>
            <w:tcW w:w="893" w:type="pct"/>
            <w:shd w:val="clear" w:color="auto" w:fill="F2F2F2" w:themeFill="background1" w:themeFillShade="F2"/>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4B49C5">
              <w:rPr>
                <w:rFonts w:eastAsia="Times New Roman"/>
                <w:b/>
                <w:bCs/>
                <w:color w:val="000000"/>
                <w:sz w:val="18"/>
                <w:szCs w:val="18"/>
                <w:lang w:eastAsia="es-CO"/>
              </w:rPr>
              <w:t>671.006.830</w:t>
            </w:r>
          </w:p>
        </w:tc>
      </w:tr>
      <w:tr w:rsidR="004B49C5" w:rsidRPr="004B49C5" w:rsidTr="00A243FB">
        <w:trPr>
          <w:trHeight w:val="20"/>
        </w:trPr>
        <w:tc>
          <w:tcPr>
            <w:cnfStyle w:val="001000000000" w:firstRow="0" w:lastRow="0" w:firstColumn="1" w:lastColumn="0" w:oddVBand="0" w:evenVBand="0" w:oddHBand="0" w:evenHBand="0" w:firstRowFirstColumn="0" w:firstRowLastColumn="0" w:lastRowFirstColumn="0" w:lastRowLastColumn="0"/>
            <w:tcW w:w="1570" w:type="pct"/>
            <w:vMerge/>
            <w:tcBorders>
              <w:left w:val="none" w:sz="0" w:space="0" w:color="auto"/>
            </w:tcBorders>
            <w:vAlign w:val="center"/>
            <w:hideMark/>
          </w:tcPr>
          <w:p w:rsidR="004B49C5" w:rsidRPr="004B49C5" w:rsidRDefault="004B49C5" w:rsidP="004B49C5">
            <w:pPr>
              <w:spacing w:line="240" w:lineRule="auto"/>
              <w:contextualSpacing w:val="0"/>
              <w:jc w:val="center"/>
              <w:rPr>
                <w:rFonts w:eastAsia="Times New Roman"/>
                <w:b/>
                <w:bCs/>
                <w:color w:val="000000"/>
                <w:sz w:val="18"/>
                <w:szCs w:val="18"/>
                <w:lang w:eastAsia="es-CO"/>
              </w:rPr>
            </w:pPr>
          </w:p>
        </w:tc>
        <w:tc>
          <w:tcPr>
            <w:tcW w:w="1677" w:type="pct"/>
            <w:gridSpan w:val="2"/>
            <w:noWrap/>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Valor Presente Neto ($)</w:t>
            </w:r>
          </w:p>
        </w:tc>
        <w:tc>
          <w:tcPr>
            <w:tcW w:w="860" w:type="pct"/>
            <w:noWrap/>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599.113.241</w:t>
            </w:r>
          </w:p>
        </w:tc>
        <w:tc>
          <w:tcPr>
            <w:tcW w:w="893" w:type="pct"/>
            <w:noWrap/>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599.113.241</w:t>
            </w:r>
          </w:p>
        </w:tc>
      </w:tr>
    </w:tbl>
    <w:p w:rsidR="004B49C5" w:rsidRPr="00AA0A2C" w:rsidRDefault="004B49C5" w:rsidP="004B49C5">
      <w:pPr>
        <w:pStyle w:val="Notas"/>
        <w:rPr>
          <w:rFonts w:asciiTheme="majorHAnsi" w:hAnsiTheme="majorHAnsi"/>
        </w:rPr>
      </w:pPr>
      <w:bookmarkStart w:id="101" w:name="_GoBack"/>
      <w:bookmarkEnd w:id="101"/>
      <w:r w:rsidRPr="00AA0A2C">
        <w:rPr>
          <w:rFonts w:asciiTheme="majorHAnsi" w:hAnsiTheme="majorHAnsi"/>
        </w:rPr>
        <w:t>Fuente: Autopista Rio Magdalena S.A.S., 2016.</w:t>
      </w:r>
    </w:p>
    <w:p w:rsidR="00370CFB" w:rsidRPr="00370CFB" w:rsidRDefault="00370CFB" w:rsidP="00370CFB">
      <w:pPr>
        <w:rPr>
          <w:rFonts w:asciiTheme="majorHAnsi" w:hAnsiTheme="majorHAnsi"/>
          <w:sz w:val="18"/>
          <w:szCs w:val="18"/>
        </w:rPr>
      </w:pPr>
      <w:r w:rsidRPr="00370CFB">
        <w:rPr>
          <w:rFonts w:asciiTheme="majorHAnsi" w:hAnsiTheme="majorHAnsi"/>
          <w:sz w:val="18"/>
          <w:szCs w:val="18"/>
        </w:rPr>
        <w:t>*: Precipitación promedio anual es de 2600 mm/año en el área de influencia equivalentes a 26.000 m3/año. Dato tomado del capítulo de caracterización abiótica del EIA.</w:t>
      </w:r>
      <w:r w:rsidRPr="00370CFB">
        <w:rPr>
          <w:rFonts w:asciiTheme="majorHAnsi" w:hAnsiTheme="majorHAnsi"/>
          <w:sz w:val="18"/>
          <w:szCs w:val="18"/>
        </w:rPr>
        <w:tab/>
      </w:r>
      <w:r w:rsidRPr="00370CFB">
        <w:rPr>
          <w:rFonts w:asciiTheme="majorHAnsi" w:hAnsiTheme="majorHAnsi"/>
          <w:sz w:val="18"/>
          <w:szCs w:val="18"/>
        </w:rPr>
        <w:tab/>
      </w:r>
      <w:r w:rsidRPr="00370CFB">
        <w:rPr>
          <w:rFonts w:asciiTheme="majorHAnsi" w:hAnsiTheme="majorHAnsi"/>
          <w:sz w:val="18"/>
          <w:szCs w:val="18"/>
        </w:rPr>
        <w:tab/>
      </w:r>
      <w:r w:rsidRPr="00370CFB">
        <w:rPr>
          <w:rFonts w:asciiTheme="majorHAnsi" w:hAnsiTheme="majorHAnsi"/>
          <w:sz w:val="18"/>
          <w:szCs w:val="18"/>
        </w:rPr>
        <w:tab/>
      </w:r>
    </w:p>
    <w:p w:rsidR="00370CFB" w:rsidRPr="00370CFB" w:rsidRDefault="00370CFB" w:rsidP="00370CFB">
      <w:pPr>
        <w:rPr>
          <w:rFonts w:asciiTheme="majorHAnsi" w:hAnsiTheme="majorHAnsi"/>
          <w:sz w:val="18"/>
          <w:szCs w:val="18"/>
        </w:rPr>
      </w:pPr>
      <w:r w:rsidRPr="00370CFB">
        <w:rPr>
          <w:rFonts w:asciiTheme="majorHAnsi" w:hAnsiTheme="majorHAnsi"/>
          <w:sz w:val="18"/>
          <w:szCs w:val="18"/>
        </w:rPr>
        <w:t>**:  La tarifa de agua por el servicio de regulación hídrica del bosque ($132,01m3) se obtiene del estudio Valoración Económica del Servicio Ambiental de Regulación Hídrica Guatemala 2002. (0,03US$/m3), convertido en pesos del 2002 a la tasa de cambio vigente en ese año ($2.778,21) y actualizado con el IPC hasta diciembre de 2015.</w:t>
      </w:r>
      <w:r w:rsidRPr="00370CFB">
        <w:rPr>
          <w:rFonts w:asciiTheme="majorHAnsi" w:hAnsiTheme="majorHAnsi"/>
          <w:sz w:val="18"/>
          <w:szCs w:val="18"/>
        </w:rPr>
        <w:tab/>
      </w:r>
      <w:r w:rsidRPr="00370CFB">
        <w:rPr>
          <w:rFonts w:asciiTheme="majorHAnsi" w:hAnsiTheme="majorHAnsi"/>
          <w:sz w:val="18"/>
          <w:szCs w:val="18"/>
        </w:rPr>
        <w:tab/>
      </w:r>
      <w:r w:rsidRPr="00370CFB">
        <w:rPr>
          <w:rFonts w:asciiTheme="majorHAnsi" w:hAnsiTheme="majorHAnsi"/>
          <w:sz w:val="18"/>
          <w:szCs w:val="18"/>
        </w:rPr>
        <w:tab/>
      </w:r>
      <w:r w:rsidRPr="00370CFB">
        <w:rPr>
          <w:rFonts w:asciiTheme="majorHAnsi" w:hAnsiTheme="majorHAnsi"/>
          <w:sz w:val="18"/>
          <w:szCs w:val="18"/>
        </w:rPr>
        <w:tab/>
      </w:r>
    </w:p>
    <w:p w:rsidR="00370CFB" w:rsidRDefault="00370CFB" w:rsidP="00370CFB">
      <w:pPr>
        <w:rPr>
          <w:rFonts w:asciiTheme="majorHAnsi" w:hAnsiTheme="majorHAnsi"/>
          <w:sz w:val="18"/>
          <w:szCs w:val="18"/>
        </w:rPr>
      </w:pPr>
      <w:r w:rsidRPr="00370CFB">
        <w:rPr>
          <w:rFonts w:asciiTheme="majorHAnsi" w:hAnsiTheme="majorHAnsi"/>
          <w:sz w:val="18"/>
          <w:szCs w:val="18"/>
        </w:rPr>
        <w:t>***: Se considera un periodo de cinco años en los que no habrá ganancias de captura de CO2, un primer año durante la tala y la plantación y cuatro años que tarda en recuperarse el bosque según Marwin Melga, 2006</w:t>
      </w:r>
      <w:r>
        <w:rPr>
          <w:rFonts w:asciiTheme="majorHAnsi" w:hAnsiTheme="majorHAnsi"/>
          <w:sz w:val="18"/>
          <w:szCs w:val="18"/>
        </w:rPr>
        <w:t>.</w:t>
      </w:r>
    </w:p>
    <w:p w:rsidR="00370CFB" w:rsidRDefault="00370CFB">
      <w:pPr>
        <w:spacing w:line="240" w:lineRule="auto"/>
        <w:contextualSpacing w:val="0"/>
        <w:jc w:val="left"/>
        <w:rPr>
          <w:b/>
          <w:bCs/>
          <w:sz w:val="20"/>
          <w:szCs w:val="20"/>
        </w:rPr>
      </w:pPr>
    </w:p>
    <w:p w:rsidR="00370CFB" w:rsidRDefault="00370CFB" w:rsidP="00370CFB">
      <w:pPr>
        <w:pStyle w:val="Tablas"/>
        <w:rPr>
          <w:rFonts w:asciiTheme="majorHAnsi" w:hAnsiTheme="majorHAnsi"/>
        </w:rPr>
      </w:pPr>
      <w:r>
        <w:t xml:space="preserve">Tabla </w:t>
      </w:r>
      <w:r w:rsidR="006D0D6E">
        <w:fldChar w:fldCharType="begin"/>
      </w:r>
      <w:r w:rsidR="006D0D6E">
        <w:instrText xml:space="preserve"> STYLEREF 1 \s </w:instrText>
      </w:r>
      <w:r w:rsidR="006D0D6E">
        <w:fldChar w:fldCharType="separate"/>
      </w:r>
      <w:r w:rsidR="006D0D6E">
        <w:rPr>
          <w:noProof/>
        </w:rPr>
        <w:t>10</w:t>
      </w:r>
      <w:r w:rsidR="006D0D6E">
        <w:fldChar w:fldCharType="end"/>
      </w:r>
      <w:r w:rsidR="006D0D6E">
        <w:t>.</w:t>
      </w:r>
      <w:r w:rsidR="006D0D6E">
        <w:fldChar w:fldCharType="begin"/>
      </w:r>
      <w:r w:rsidR="006D0D6E">
        <w:instrText xml:space="preserve"> SEQ Tabla \* ARABIC \s 1 </w:instrText>
      </w:r>
      <w:r w:rsidR="006D0D6E">
        <w:fldChar w:fldCharType="separate"/>
      </w:r>
      <w:r w:rsidR="006D0D6E">
        <w:rPr>
          <w:noProof/>
        </w:rPr>
        <w:t>26</w:t>
      </w:r>
      <w:r w:rsidR="006D0D6E">
        <w:fldChar w:fldCharType="end"/>
      </w:r>
      <w:r>
        <w:t xml:space="preserve"> </w:t>
      </w:r>
      <w:r w:rsidRPr="00370CFB">
        <w:rPr>
          <w:rFonts w:asciiTheme="majorHAnsi" w:hAnsiTheme="majorHAnsi"/>
        </w:rPr>
        <w:t>Compensación del Régimen de Retención de Sedimentos</w:t>
      </w:r>
    </w:p>
    <w:tbl>
      <w:tblPr>
        <w:tblStyle w:val="Gminis"/>
        <w:tblW w:w="5000" w:type="pct"/>
        <w:tblLook w:val="04A0" w:firstRow="1" w:lastRow="0" w:firstColumn="1" w:lastColumn="0" w:noHBand="0" w:noVBand="1"/>
      </w:tblPr>
      <w:tblGrid>
        <w:gridCol w:w="3070"/>
        <w:gridCol w:w="1320"/>
        <w:gridCol w:w="1143"/>
        <w:gridCol w:w="1345"/>
        <w:gridCol w:w="1383"/>
      </w:tblGrid>
      <w:tr w:rsidR="004B49C5" w:rsidRPr="004B49C5" w:rsidTr="00A243FB">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gridSpan w:val="5"/>
            <w:tcBorders>
              <w:top w:val="none" w:sz="0" w:space="0" w:color="auto"/>
              <w:left w:val="none" w:sz="0" w:space="0" w:color="auto"/>
              <w:bottom w:val="none" w:sz="0" w:space="0" w:color="auto"/>
              <w:right w:val="none" w:sz="0" w:space="0" w:color="auto"/>
            </w:tcBorders>
            <w:noWrap/>
            <w:vAlign w:val="center"/>
            <w:hideMark/>
          </w:tcPr>
          <w:p w:rsidR="004B49C5" w:rsidRPr="004B49C5" w:rsidRDefault="004B49C5" w:rsidP="004B49C5">
            <w:pPr>
              <w:spacing w:line="240" w:lineRule="auto"/>
              <w:contextualSpacing w:val="0"/>
              <w:jc w:val="center"/>
              <w:rPr>
                <w:rFonts w:eastAsia="Times New Roman"/>
                <w:b w:val="0"/>
                <w:bCs/>
                <w:color w:val="000000"/>
                <w:sz w:val="18"/>
                <w:szCs w:val="18"/>
                <w:lang w:eastAsia="es-CO"/>
              </w:rPr>
            </w:pPr>
            <w:r w:rsidRPr="004B49C5">
              <w:rPr>
                <w:rFonts w:eastAsia="Times New Roman"/>
                <w:bCs/>
                <w:color w:val="000000"/>
                <w:sz w:val="18"/>
                <w:szCs w:val="18"/>
                <w:lang w:eastAsia="es-CO"/>
              </w:rPr>
              <w:t>COMPENSACIÓN DEL RÉGIMEN DE RETENCIÓN DE SEDIMENTOS EN CONSTRUCCIÓN</w:t>
            </w:r>
          </w:p>
        </w:tc>
      </w:tr>
      <w:tr w:rsidR="004B49C5" w:rsidRPr="004B49C5" w:rsidTr="004B49C5">
        <w:trPr>
          <w:trHeight w:val="20"/>
        </w:trPr>
        <w:tc>
          <w:tcPr>
            <w:cnfStyle w:val="001000000000" w:firstRow="0" w:lastRow="0" w:firstColumn="1" w:lastColumn="0" w:oddVBand="0" w:evenVBand="0" w:oddHBand="0" w:evenHBand="0" w:firstRowFirstColumn="0" w:firstRowLastColumn="0" w:lastRowFirstColumn="0" w:lastRowLastColumn="0"/>
            <w:tcW w:w="1858" w:type="pct"/>
            <w:vMerge w:val="restart"/>
            <w:tcBorders>
              <w:left w:val="none" w:sz="0" w:space="0" w:color="auto"/>
            </w:tcBorders>
            <w:vAlign w:val="center"/>
            <w:hideMark/>
          </w:tcPr>
          <w:p w:rsidR="004B49C5" w:rsidRPr="004B49C5" w:rsidRDefault="004B49C5" w:rsidP="004B49C5">
            <w:pPr>
              <w:spacing w:line="240" w:lineRule="auto"/>
              <w:contextualSpacing w:val="0"/>
              <w:jc w:val="center"/>
              <w:rPr>
                <w:rFonts w:eastAsia="Times New Roman"/>
                <w:b/>
                <w:bCs/>
                <w:color w:val="000000"/>
                <w:sz w:val="18"/>
                <w:szCs w:val="18"/>
                <w:lang w:eastAsia="es-CO"/>
              </w:rPr>
            </w:pPr>
            <w:r w:rsidRPr="004B49C5">
              <w:rPr>
                <w:rFonts w:eastAsia="Times New Roman"/>
                <w:b/>
                <w:bCs/>
                <w:color w:val="000000"/>
                <w:sz w:val="18"/>
                <w:szCs w:val="18"/>
                <w:lang w:eastAsia="es-CO"/>
              </w:rPr>
              <w:t>Componente biótico</w:t>
            </w:r>
          </w:p>
        </w:tc>
        <w:tc>
          <w:tcPr>
            <w:tcW w:w="1491" w:type="pct"/>
            <w:gridSpan w:val="2"/>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4B49C5">
              <w:rPr>
                <w:rFonts w:eastAsia="Times New Roman"/>
                <w:b/>
                <w:bCs/>
                <w:color w:val="000000"/>
                <w:sz w:val="18"/>
                <w:szCs w:val="18"/>
                <w:lang w:eastAsia="es-CO"/>
              </w:rPr>
              <w:t>Cobertura vegetal</w:t>
            </w:r>
          </w:p>
        </w:tc>
        <w:tc>
          <w:tcPr>
            <w:tcW w:w="814" w:type="pct"/>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4B49C5">
              <w:rPr>
                <w:rFonts w:eastAsia="Times New Roman"/>
                <w:b/>
                <w:bCs/>
                <w:color w:val="000000"/>
                <w:sz w:val="18"/>
                <w:szCs w:val="18"/>
                <w:lang w:eastAsia="es-CO"/>
              </w:rPr>
              <w:t>Ha a compensar</w:t>
            </w:r>
          </w:p>
        </w:tc>
        <w:tc>
          <w:tcPr>
            <w:tcW w:w="837" w:type="pct"/>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4B49C5">
              <w:rPr>
                <w:rFonts w:eastAsia="Times New Roman"/>
                <w:b/>
                <w:bCs/>
                <w:color w:val="000000"/>
                <w:sz w:val="18"/>
                <w:szCs w:val="18"/>
                <w:lang w:eastAsia="es-CO"/>
              </w:rPr>
              <w:t>VALOR TOTAL ($)</w:t>
            </w:r>
          </w:p>
        </w:tc>
      </w:tr>
      <w:tr w:rsidR="004B49C5" w:rsidRPr="004B49C5" w:rsidTr="00A243FB">
        <w:trPr>
          <w:trHeight w:val="20"/>
        </w:trPr>
        <w:tc>
          <w:tcPr>
            <w:cnfStyle w:val="001000000000" w:firstRow="0" w:lastRow="0" w:firstColumn="1" w:lastColumn="0" w:oddVBand="0" w:evenVBand="0" w:oddHBand="0" w:evenHBand="0" w:firstRowFirstColumn="0" w:firstRowLastColumn="0" w:lastRowFirstColumn="0" w:lastRowLastColumn="0"/>
            <w:tcW w:w="1858" w:type="pct"/>
            <w:vMerge/>
            <w:tcBorders>
              <w:left w:val="none" w:sz="0" w:space="0" w:color="auto"/>
            </w:tcBorders>
            <w:vAlign w:val="center"/>
            <w:hideMark/>
          </w:tcPr>
          <w:p w:rsidR="004B49C5" w:rsidRPr="004B49C5" w:rsidRDefault="004B49C5" w:rsidP="004B49C5">
            <w:pPr>
              <w:spacing w:line="240" w:lineRule="auto"/>
              <w:contextualSpacing w:val="0"/>
              <w:jc w:val="center"/>
              <w:rPr>
                <w:rFonts w:eastAsia="Times New Roman"/>
                <w:b/>
                <w:bCs/>
                <w:color w:val="000000"/>
                <w:sz w:val="18"/>
                <w:szCs w:val="18"/>
                <w:lang w:eastAsia="es-CO"/>
              </w:rPr>
            </w:pPr>
          </w:p>
        </w:tc>
        <w:tc>
          <w:tcPr>
            <w:tcW w:w="1491" w:type="pct"/>
            <w:gridSpan w:val="2"/>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4B49C5">
              <w:rPr>
                <w:rFonts w:eastAsia="Times New Roman"/>
                <w:b/>
                <w:bCs/>
                <w:color w:val="000000"/>
                <w:sz w:val="18"/>
                <w:szCs w:val="18"/>
                <w:lang w:eastAsia="es-CO"/>
              </w:rPr>
              <w:t>Nº Hectáreas</w:t>
            </w:r>
          </w:p>
        </w:tc>
        <w:tc>
          <w:tcPr>
            <w:tcW w:w="814" w:type="pct"/>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39,10</w:t>
            </w:r>
          </w:p>
        </w:tc>
        <w:tc>
          <w:tcPr>
            <w:tcW w:w="837" w:type="pct"/>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39,10</w:t>
            </w:r>
          </w:p>
        </w:tc>
      </w:tr>
      <w:tr w:rsidR="004B49C5" w:rsidRPr="004B49C5" w:rsidTr="004B49C5">
        <w:trPr>
          <w:trHeight w:val="20"/>
        </w:trPr>
        <w:tc>
          <w:tcPr>
            <w:cnfStyle w:val="001000000000" w:firstRow="0" w:lastRow="0" w:firstColumn="1" w:lastColumn="0" w:oddVBand="0" w:evenVBand="0" w:oddHBand="0" w:evenHBand="0" w:firstRowFirstColumn="0" w:firstRowLastColumn="0" w:lastRowFirstColumn="0" w:lastRowLastColumn="0"/>
            <w:tcW w:w="1858" w:type="pct"/>
            <w:vMerge w:val="restart"/>
            <w:tcBorders>
              <w:left w:val="none" w:sz="0" w:space="0" w:color="auto"/>
            </w:tcBorders>
            <w:vAlign w:val="center"/>
            <w:hideMark/>
          </w:tcPr>
          <w:p w:rsidR="004B49C5" w:rsidRPr="004B49C5" w:rsidRDefault="004B49C5" w:rsidP="004B49C5">
            <w:pPr>
              <w:spacing w:line="240" w:lineRule="auto"/>
              <w:contextualSpacing w:val="0"/>
              <w:jc w:val="center"/>
              <w:rPr>
                <w:rFonts w:eastAsia="Times New Roman"/>
                <w:b/>
                <w:bCs/>
                <w:color w:val="000000"/>
                <w:sz w:val="18"/>
                <w:szCs w:val="18"/>
                <w:lang w:eastAsia="es-CO"/>
              </w:rPr>
            </w:pPr>
            <w:r w:rsidRPr="004B49C5">
              <w:rPr>
                <w:rFonts w:eastAsia="Times New Roman"/>
                <w:b/>
                <w:bCs/>
                <w:color w:val="000000"/>
                <w:sz w:val="18"/>
                <w:szCs w:val="18"/>
                <w:lang w:eastAsia="es-CO"/>
              </w:rPr>
              <w:t>Compensación del régimen natural de retención de sedimentos</w:t>
            </w:r>
          </w:p>
        </w:tc>
        <w:tc>
          <w:tcPr>
            <w:tcW w:w="799" w:type="pct"/>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Regulación hídrica</w:t>
            </w:r>
          </w:p>
        </w:tc>
        <w:tc>
          <w:tcPr>
            <w:tcW w:w="692" w:type="pct"/>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13.000 m</w:t>
            </w:r>
            <w:r w:rsidRPr="004B49C5">
              <w:rPr>
                <w:rFonts w:eastAsia="Times New Roman"/>
                <w:color w:val="000000"/>
                <w:sz w:val="18"/>
                <w:szCs w:val="18"/>
                <w:vertAlign w:val="superscript"/>
                <w:lang w:eastAsia="es-CO"/>
              </w:rPr>
              <w:t>3</w:t>
            </w:r>
            <w:r w:rsidRPr="004B49C5">
              <w:rPr>
                <w:rFonts w:eastAsia="Times New Roman"/>
                <w:color w:val="000000"/>
                <w:sz w:val="18"/>
                <w:szCs w:val="18"/>
                <w:lang w:eastAsia="es-CO"/>
              </w:rPr>
              <w:t>/ha-año *</w:t>
            </w:r>
          </w:p>
        </w:tc>
        <w:tc>
          <w:tcPr>
            <w:tcW w:w="814" w:type="pct"/>
            <w:noWrap/>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508.300</w:t>
            </w:r>
          </w:p>
        </w:tc>
        <w:tc>
          <w:tcPr>
            <w:tcW w:w="837" w:type="pct"/>
            <w:noWrap/>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508.300</w:t>
            </w:r>
          </w:p>
        </w:tc>
      </w:tr>
      <w:tr w:rsidR="004B49C5" w:rsidRPr="004B49C5" w:rsidTr="00A243FB">
        <w:trPr>
          <w:trHeight w:val="20"/>
        </w:trPr>
        <w:tc>
          <w:tcPr>
            <w:cnfStyle w:val="001000000000" w:firstRow="0" w:lastRow="0" w:firstColumn="1" w:lastColumn="0" w:oddVBand="0" w:evenVBand="0" w:oddHBand="0" w:evenHBand="0" w:firstRowFirstColumn="0" w:firstRowLastColumn="0" w:lastRowFirstColumn="0" w:lastRowLastColumn="0"/>
            <w:tcW w:w="1858" w:type="pct"/>
            <w:vMerge/>
            <w:tcBorders>
              <w:left w:val="none" w:sz="0" w:space="0" w:color="auto"/>
            </w:tcBorders>
            <w:vAlign w:val="center"/>
            <w:hideMark/>
          </w:tcPr>
          <w:p w:rsidR="004B49C5" w:rsidRPr="004B49C5" w:rsidRDefault="004B49C5" w:rsidP="004B49C5">
            <w:pPr>
              <w:spacing w:line="240" w:lineRule="auto"/>
              <w:contextualSpacing w:val="0"/>
              <w:jc w:val="center"/>
              <w:rPr>
                <w:rFonts w:eastAsia="Times New Roman"/>
                <w:b/>
                <w:bCs/>
                <w:color w:val="000000"/>
                <w:sz w:val="18"/>
                <w:szCs w:val="18"/>
                <w:lang w:eastAsia="es-CO"/>
              </w:rPr>
            </w:pPr>
          </w:p>
        </w:tc>
        <w:tc>
          <w:tcPr>
            <w:tcW w:w="1491" w:type="pct"/>
            <w:gridSpan w:val="2"/>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Valor m3($) **</w:t>
            </w:r>
          </w:p>
        </w:tc>
        <w:tc>
          <w:tcPr>
            <w:tcW w:w="814" w:type="pct"/>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200</w:t>
            </w:r>
          </w:p>
        </w:tc>
        <w:tc>
          <w:tcPr>
            <w:tcW w:w="837" w:type="pct"/>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200</w:t>
            </w:r>
          </w:p>
        </w:tc>
      </w:tr>
      <w:tr w:rsidR="004B49C5" w:rsidRPr="004B49C5" w:rsidTr="00A243FB">
        <w:trPr>
          <w:trHeight w:val="20"/>
        </w:trPr>
        <w:tc>
          <w:tcPr>
            <w:cnfStyle w:val="001000000000" w:firstRow="0" w:lastRow="0" w:firstColumn="1" w:lastColumn="0" w:oddVBand="0" w:evenVBand="0" w:oddHBand="0" w:evenHBand="0" w:firstRowFirstColumn="0" w:firstRowLastColumn="0" w:lastRowFirstColumn="0" w:lastRowLastColumn="0"/>
            <w:tcW w:w="1858" w:type="pct"/>
            <w:vMerge/>
            <w:tcBorders>
              <w:left w:val="none" w:sz="0" w:space="0" w:color="auto"/>
            </w:tcBorders>
            <w:vAlign w:val="center"/>
            <w:hideMark/>
          </w:tcPr>
          <w:p w:rsidR="004B49C5" w:rsidRPr="004B49C5" w:rsidRDefault="004B49C5" w:rsidP="004B49C5">
            <w:pPr>
              <w:spacing w:line="240" w:lineRule="auto"/>
              <w:contextualSpacing w:val="0"/>
              <w:jc w:val="center"/>
              <w:rPr>
                <w:rFonts w:eastAsia="Times New Roman"/>
                <w:b/>
                <w:bCs/>
                <w:color w:val="000000"/>
                <w:sz w:val="18"/>
                <w:szCs w:val="18"/>
                <w:lang w:eastAsia="es-CO"/>
              </w:rPr>
            </w:pPr>
          </w:p>
        </w:tc>
        <w:tc>
          <w:tcPr>
            <w:tcW w:w="1491" w:type="pct"/>
            <w:gridSpan w:val="2"/>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Valor anual Pesos ($)</w:t>
            </w:r>
          </w:p>
        </w:tc>
        <w:tc>
          <w:tcPr>
            <w:tcW w:w="814" w:type="pct"/>
            <w:noWrap/>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101.660.000</w:t>
            </w:r>
          </w:p>
        </w:tc>
        <w:tc>
          <w:tcPr>
            <w:tcW w:w="837" w:type="pct"/>
            <w:noWrap/>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101.660.000</w:t>
            </w:r>
          </w:p>
        </w:tc>
      </w:tr>
      <w:tr w:rsidR="004B49C5" w:rsidRPr="004B49C5" w:rsidTr="00A243FB">
        <w:trPr>
          <w:trHeight w:val="20"/>
        </w:trPr>
        <w:tc>
          <w:tcPr>
            <w:cnfStyle w:val="001000000000" w:firstRow="0" w:lastRow="0" w:firstColumn="1" w:lastColumn="0" w:oddVBand="0" w:evenVBand="0" w:oddHBand="0" w:evenHBand="0" w:firstRowFirstColumn="0" w:firstRowLastColumn="0" w:lastRowFirstColumn="0" w:lastRowLastColumn="0"/>
            <w:tcW w:w="1858" w:type="pct"/>
            <w:vMerge/>
            <w:tcBorders>
              <w:left w:val="none" w:sz="0" w:space="0" w:color="auto"/>
            </w:tcBorders>
            <w:vAlign w:val="center"/>
            <w:hideMark/>
          </w:tcPr>
          <w:p w:rsidR="004B49C5" w:rsidRPr="004B49C5" w:rsidRDefault="004B49C5" w:rsidP="004B49C5">
            <w:pPr>
              <w:spacing w:line="240" w:lineRule="auto"/>
              <w:contextualSpacing w:val="0"/>
              <w:jc w:val="center"/>
              <w:rPr>
                <w:rFonts w:eastAsia="Times New Roman"/>
                <w:b/>
                <w:bCs/>
                <w:color w:val="000000"/>
                <w:sz w:val="18"/>
                <w:szCs w:val="18"/>
                <w:lang w:eastAsia="es-CO"/>
              </w:rPr>
            </w:pPr>
          </w:p>
        </w:tc>
        <w:tc>
          <w:tcPr>
            <w:tcW w:w="1491" w:type="pct"/>
            <w:gridSpan w:val="2"/>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Años establecimiento***</w:t>
            </w:r>
          </w:p>
        </w:tc>
        <w:tc>
          <w:tcPr>
            <w:tcW w:w="814" w:type="pct"/>
            <w:noWrap/>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5</w:t>
            </w:r>
          </w:p>
        </w:tc>
        <w:tc>
          <w:tcPr>
            <w:tcW w:w="837" w:type="pct"/>
            <w:noWrap/>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5</w:t>
            </w:r>
          </w:p>
        </w:tc>
      </w:tr>
      <w:tr w:rsidR="004B49C5" w:rsidRPr="004B49C5" w:rsidTr="004B49C5">
        <w:trPr>
          <w:trHeight w:val="20"/>
        </w:trPr>
        <w:tc>
          <w:tcPr>
            <w:cnfStyle w:val="001000000000" w:firstRow="0" w:lastRow="0" w:firstColumn="1" w:lastColumn="0" w:oddVBand="0" w:evenVBand="0" w:oddHBand="0" w:evenHBand="0" w:firstRowFirstColumn="0" w:firstRowLastColumn="0" w:lastRowFirstColumn="0" w:lastRowLastColumn="0"/>
            <w:tcW w:w="1858" w:type="pct"/>
            <w:vMerge/>
            <w:tcBorders>
              <w:left w:val="none" w:sz="0" w:space="0" w:color="auto"/>
            </w:tcBorders>
            <w:vAlign w:val="center"/>
            <w:hideMark/>
          </w:tcPr>
          <w:p w:rsidR="004B49C5" w:rsidRPr="004B49C5" w:rsidRDefault="004B49C5" w:rsidP="004B49C5">
            <w:pPr>
              <w:spacing w:line="240" w:lineRule="auto"/>
              <w:contextualSpacing w:val="0"/>
              <w:jc w:val="center"/>
              <w:rPr>
                <w:rFonts w:eastAsia="Times New Roman"/>
                <w:b/>
                <w:bCs/>
                <w:color w:val="000000"/>
                <w:sz w:val="18"/>
                <w:szCs w:val="18"/>
                <w:lang w:eastAsia="es-CO"/>
              </w:rPr>
            </w:pPr>
          </w:p>
        </w:tc>
        <w:tc>
          <w:tcPr>
            <w:tcW w:w="1491" w:type="pct"/>
            <w:gridSpan w:val="2"/>
            <w:shd w:val="clear" w:color="auto" w:fill="F2F2F2" w:themeFill="background1" w:themeFillShade="F2"/>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4B49C5">
              <w:rPr>
                <w:rFonts w:eastAsia="Times New Roman"/>
                <w:b/>
                <w:bCs/>
                <w:color w:val="000000"/>
                <w:sz w:val="18"/>
                <w:szCs w:val="18"/>
                <w:lang w:eastAsia="es-CO"/>
              </w:rPr>
              <w:t>Valor Total Pesos ($)</w:t>
            </w:r>
          </w:p>
        </w:tc>
        <w:tc>
          <w:tcPr>
            <w:tcW w:w="814" w:type="pct"/>
            <w:shd w:val="clear" w:color="auto" w:fill="F2F2F2" w:themeFill="background1" w:themeFillShade="F2"/>
            <w:noWrap/>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4B49C5">
              <w:rPr>
                <w:rFonts w:eastAsia="Times New Roman"/>
                <w:b/>
                <w:bCs/>
                <w:color w:val="000000"/>
                <w:sz w:val="18"/>
                <w:szCs w:val="18"/>
                <w:lang w:eastAsia="es-CO"/>
              </w:rPr>
              <w:t>508.300.000</w:t>
            </w:r>
          </w:p>
        </w:tc>
        <w:tc>
          <w:tcPr>
            <w:tcW w:w="837" w:type="pct"/>
            <w:shd w:val="clear" w:color="auto" w:fill="F2F2F2" w:themeFill="background1" w:themeFillShade="F2"/>
            <w:noWrap/>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4B49C5">
              <w:rPr>
                <w:rFonts w:eastAsia="Times New Roman"/>
                <w:b/>
                <w:bCs/>
                <w:color w:val="000000"/>
                <w:sz w:val="18"/>
                <w:szCs w:val="18"/>
                <w:lang w:eastAsia="es-CO"/>
              </w:rPr>
              <w:t>508.300.000</w:t>
            </w:r>
          </w:p>
        </w:tc>
      </w:tr>
      <w:tr w:rsidR="004B49C5" w:rsidRPr="004B49C5" w:rsidTr="00A243FB">
        <w:trPr>
          <w:trHeight w:val="20"/>
        </w:trPr>
        <w:tc>
          <w:tcPr>
            <w:cnfStyle w:val="001000000000" w:firstRow="0" w:lastRow="0" w:firstColumn="1" w:lastColumn="0" w:oddVBand="0" w:evenVBand="0" w:oddHBand="0" w:evenHBand="0" w:firstRowFirstColumn="0" w:firstRowLastColumn="0" w:lastRowFirstColumn="0" w:lastRowLastColumn="0"/>
            <w:tcW w:w="1858" w:type="pct"/>
            <w:vMerge/>
            <w:tcBorders>
              <w:left w:val="none" w:sz="0" w:space="0" w:color="auto"/>
            </w:tcBorders>
            <w:vAlign w:val="center"/>
            <w:hideMark/>
          </w:tcPr>
          <w:p w:rsidR="004B49C5" w:rsidRPr="004B49C5" w:rsidRDefault="004B49C5" w:rsidP="004B49C5">
            <w:pPr>
              <w:spacing w:line="240" w:lineRule="auto"/>
              <w:contextualSpacing w:val="0"/>
              <w:jc w:val="center"/>
              <w:rPr>
                <w:rFonts w:eastAsia="Times New Roman"/>
                <w:b/>
                <w:bCs/>
                <w:color w:val="000000"/>
                <w:sz w:val="18"/>
                <w:szCs w:val="18"/>
                <w:lang w:eastAsia="es-CO"/>
              </w:rPr>
            </w:pPr>
          </w:p>
        </w:tc>
        <w:tc>
          <w:tcPr>
            <w:tcW w:w="1491" w:type="pct"/>
            <w:gridSpan w:val="2"/>
            <w:noWrap/>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Valor Presente Neto ($)</w:t>
            </w:r>
          </w:p>
        </w:tc>
        <w:tc>
          <w:tcPr>
            <w:tcW w:w="814" w:type="pct"/>
            <w:noWrap/>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453.839.286</w:t>
            </w:r>
          </w:p>
        </w:tc>
        <w:tc>
          <w:tcPr>
            <w:tcW w:w="837" w:type="pct"/>
            <w:noWrap/>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453.839.286</w:t>
            </w:r>
          </w:p>
        </w:tc>
      </w:tr>
    </w:tbl>
    <w:p w:rsidR="00370CFB" w:rsidRPr="00AA0A2C" w:rsidRDefault="00370CFB" w:rsidP="004B49C5">
      <w:pPr>
        <w:pStyle w:val="Notas"/>
      </w:pPr>
      <w:r w:rsidRPr="00AA0A2C">
        <w:t>Fuente: Autopista Rio Magdalena S.A.S., 2016.</w:t>
      </w:r>
    </w:p>
    <w:p w:rsidR="00370CFB" w:rsidRPr="00370CFB" w:rsidRDefault="00370CFB" w:rsidP="00370CFB">
      <w:pPr>
        <w:rPr>
          <w:rFonts w:asciiTheme="majorHAnsi" w:hAnsiTheme="majorHAnsi"/>
          <w:sz w:val="18"/>
          <w:szCs w:val="18"/>
        </w:rPr>
      </w:pPr>
      <w:r w:rsidRPr="00370CFB">
        <w:rPr>
          <w:rFonts w:asciiTheme="majorHAnsi" w:hAnsiTheme="majorHAnsi"/>
          <w:sz w:val="18"/>
          <w:szCs w:val="18"/>
        </w:rPr>
        <w:t xml:space="preserve">*: Equivale al valor medio de la precipitación promedio de la zona. Ya que una vez establecido el volumen de agua aportado al suelo en el </w:t>
      </w:r>
      <w:r w:rsidR="00ED7FA9" w:rsidRPr="00370CFB">
        <w:rPr>
          <w:rFonts w:asciiTheme="majorHAnsi" w:hAnsiTheme="majorHAnsi"/>
          <w:sz w:val="18"/>
          <w:szCs w:val="18"/>
        </w:rPr>
        <w:t>ítem</w:t>
      </w:r>
      <w:r w:rsidRPr="00370CFB">
        <w:rPr>
          <w:rFonts w:asciiTheme="majorHAnsi" w:hAnsiTheme="majorHAnsi"/>
          <w:sz w:val="18"/>
          <w:szCs w:val="18"/>
        </w:rPr>
        <w:t xml:space="preserve"> de </w:t>
      </w:r>
      <w:r w:rsidR="00ED7FA9" w:rsidRPr="00370CFB">
        <w:rPr>
          <w:rFonts w:asciiTheme="majorHAnsi" w:hAnsiTheme="majorHAnsi"/>
          <w:sz w:val="18"/>
          <w:szCs w:val="18"/>
        </w:rPr>
        <w:t>regulación</w:t>
      </w:r>
      <w:r w:rsidRPr="00370CFB">
        <w:rPr>
          <w:rFonts w:asciiTheme="majorHAnsi" w:hAnsiTheme="majorHAnsi"/>
          <w:sz w:val="18"/>
          <w:szCs w:val="18"/>
        </w:rPr>
        <w:t xml:space="preserve"> </w:t>
      </w:r>
      <w:r w:rsidR="00ED7FA9" w:rsidRPr="00370CFB">
        <w:rPr>
          <w:rFonts w:asciiTheme="majorHAnsi" w:hAnsiTheme="majorHAnsi"/>
          <w:sz w:val="18"/>
          <w:szCs w:val="18"/>
        </w:rPr>
        <w:t>hídrica</w:t>
      </w:r>
      <w:r w:rsidRPr="00370CFB">
        <w:rPr>
          <w:rFonts w:asciiTheme="majorHAnsi" w:hAnsiTheme="majorHAnsi"/>
          <w:sz w:val="18"/>
          <w:szCs w:val="18"/>
        </w:rPr>
        <w:t xml:space="preserve">, se estima que el valor retenido en el sedimento llega a ser del 50% del volumen total, ya que por la </w:t>
      </w:r>
      <w:r w:rsidR="00ED7FA9" w:rsidRPr="00370CFB">
        <w:rPr>
          <w:rFonts w:asciiTheme="majorHAnsi" w:hAnsiTheme="majorHAnsi"/>
          <w:sz w:val="18"/>
          <w:szCs w:val="18"/>
        </w:rPr>
        <w:t>escorrentía</w:t>
      </w:r>
      <w:r w:rsidRPr="00370CFB">
        <w:rPr>
          <w:rFonts w:asciiTheme="majorHAnsi" w:hAnsiTheme="majorHAnsi"/>
          <w:sz w:val="18"/>
          <w:szCs w:val="18"/>
        </w:rPr>
        <w:t xml:space="preserve"> y </w:t>
      </w:r>
      <w:r w:rsidR="00ED7FA9" w:rsidRPr="00370CFB">
        <w:rPr>
          <w:rFonts w:asciiTheme="majorHAnsi" w:hAnsiTheme="majorHAnsi"/>
          <w:sz w:val="18"/>
          <w:szCs w:val="18"/>
        </w:rPr>
        <w:t>evaporación</w:t>
      </w:r>
      <w:r w:rsidRPr="00370CFB">
        <w:rPr>
          <w:rFonts w:asciiTheme="majorHAnsi" w:hAnsiTheme="majorHAnsi"/>
          <w:sz w:val="18"/>
          <w:szCs w:val="18"/>
        </w:rPr>
        <w:t xml:space="preserve"> se pierde una fracción del volumen que genera la precipitación por lo tanto se estima este valor para el </w:t>
      </w:r>
      <w:r w:rsidR="00ED7FA9" w:rsidRPr="00370CFB">
        <w:rPr>
          <w:rFonts w:asciiTheme="majorHAnsi" w:hAnsiTheme="majorHAnsi"/>
          <w:sz w:val="18"/>
          <w:szCs w:val="18"/>
        </w:rPr>
        <w:t>cálculo</w:t>
      </w:r>
      <w:r w:rsidRPr="00370CFB">
        <w:rPr>
          <w:rFonts w:asciiTheme="majorHAnsi" w:hAnsiTheme="majorHAnsi"/>
          <w:sz w:val="18"/>
          <w:szCs w:val="18"/>
        </w:rPr>
        <w:t xml:space="preserve"> de la </w:t>
      </w:r>
      <w:r w:rsidR="00ED7FA9" w:rsidRPr="00370CFB">
        <w:rPr>
          <w:rFonts w:asciiTheme="majorHAnsi" w:hAnsiTheme="majorHAnsi"/>
          <w:sz w:val="18"/>
          <w:szCs w:val="18"/>
        </w:rPr>
        <w:t>regulación</w:t>
      </w:r>
      <w:r w:rsidRPr="00370CFB">
        <w:rPr>
          <w:rFonts w:asciiTheme="majorHAnsi" w:hAnsiTheme="majorHAnsi"/>
          <w:sz w:val="18"/>
          <w:szCs w:val="18"/>
        </w:rPr>
        <w:t xml:space="preserve"> por </w:t>
      </w:r>
      <w:r w:rsidR="00ED7FA9" w:rsidRPr="00370CFB">
        <w:rPr>
          <w:rFonts w:asciiTheme="majorHAnsi" w:hAnsiTheme="majorHAnsi"/>
          <w:sz w:val="18"/>
          <w:szCs w:val="18"/>
        </w:rPr>
        <w:t>retención</w:t>
      </w:r>
      <w:r w:rsidRPr="00370CFB">
        <w:rPr>
          <w:rFonts w:asciiTheme="majorHAnsi" w:hAnsiTheme="majorHAnsi"/>
          <w:sz w:val="18"/>
          <w:szCs w:val="18"/>
        </w:rPr>
        <w:t xml:space="preserve"> de sedimentos.</w:t>
      </w:r>
      <w:r w:rsidRPr="00370CFB">
        <w:rPr>
          <w:rFonts w:asciiTheme="majorHAnsi" w:hAnsiTheme="majorHAnsi"/>
          <w:sz w:val="18"/>
          <w:szCs w:val="18"/>
        </w:rPr>
        <w:tab/>
      </w:r>
      <w:r w:rsidRPr="00370CFB">
        <w:rPr>
          <w:rFonts w:asciiTheme="majorHAnsi" w:hAnsiTheme="majorHAnsi"/>
          <w:sz w:val="18"/>
          <w:szCs w:val="18"/>
        </w:rPr>
        <w:tab/>
      </w:r>
      <w:r w:rsidRPr="00370CFB">
        <w:rPr>
          <w:rFonts w:asciiTheme="majorHAnsi" w:hAnsiTheme="majorHAnsi"/>
          <w:sz w:val="18"/>
          <w:szCs w:val="18"/>
        </w:rPr>
        <w:tab/>
      </w:r>
      <w:r w:rsidRPr="00370CFB">
        <w:rPr>
          <w:rFonts w:asciiTheme="majorHAnsi" w:hAnsiTheme="majorHAnsi"/>
          <w:sz w:val="18"/>
          <w:szCs w:val="18"/>
        </w:rPr>
        <w:tab/>
      </w:r>
    </w:p>
    <w:p w:rsidR="00370CFB" w:rsidRPr="00370CFB" w:rsidRDefault="00370CFB" w:rsidP="00370CFB">
      <w:pPr>
        <w:rPr>
          <w:rFonts w:asciiTheme="majorHAnsi" w:hAnsiTheme="majorHAnsi"/>
          <w:sz w:val="18"/>
          <w:szCs w:val="18"/>
        </w:rPr>
      </w:pPr>
      <w:r w:rsidRPr="00370CFB">
        <w:rPr>
          <w:rFonts w:asciiTheme="majorHAnsi" w:hAnsiTheme="majorHAnsi"/>
          <w:sz w:val="18"/>
          <w:szCs w:val="18"/>
        </w:rPr>
        <w:t>**: El valor del tratamiento por turbidez del agua es de $200/m3, este valor se obtiene de consultas a firmas que hacen tratamientos de agua y el dato final lo suministró el Doctor Joaquín Fonseca, Ingeniero Químico de la Universidad Nacional, Master en Ingeniería Sanitaria de la misma Universidad y con más de 30 años de experiencia en temas de aguas residuales.</w:t>
      </w:r>
      <w:r w:rsidRPr="00370CFB">
        <w:rPr>
          <w:rFonts w:asciiTheme="majorHAnsi" w:hAnsiTheme="majorHAnsi"/>
          <w:sz w:val="18"/>
          <w:szCs w:val="18"/>
        </w:rPr>
        <w:tab/>
      </w:r>
      <w:r w:rsidRPr="00370CFB">
        <w:rPr>
          <w:rFonts w:asciiTheme="majorHAnsi" w:hAnsiTheme="majorHAnsi"/>
          <w:sz w:val="18"/>
          <w:szCs w:val="18"/>
        </w:rPr>
        <w:tab/>
      </w:r>
      <w:r w:rsidRPr="00370CFB">
        <w:rPr>
          <w:rFonts w:asciiTheme="majorHAnsi" w:hAnsiTheme="majorHAnsi"/>
          <w:sz w:val="18"/>
          <w:szCs w:val="18"/>
        </w:rPr>
        <w:tab/>
      </w:r>
      <w:r w:rsidRPr="00370CFB">
        <w:rPr>
          <w:rFonts w:asciiTheme="majorHAnsi" w:hAnsiTheme="majorHAnsi"/>
          <w:sz w:val="18"/>
          <w:szCs w:val="18"/>
        </w:rPr>
        <w:tab/>
      </w:r>
    </w:p>
    <w:p w:rsidR="00AA0A2C" w:rsidRDefault="00370CFB" w:rsidP="00ED7FA9">
      <w:pPr>
        <w:rPr>
          <w:rFonts w:asciiTheme="majorHAnsi" w:hAnsiTheme="majorHAnsi"/>
          <w:sz w:val="18"/>
          <w:szCs w:val="18"/>
        </w:rPr>
      </w:pPr>
      <w:r w:rsidRPr="00370CFB">
        <w:rPr>
          <w:rFonts w:asciiTheme="majorHAnsi" w:hAnsiTheme="majorHAnsi"/>
          <w:sz w:val="18"/>
          <w:szCs w:val="18"/>
        </w:rPr>
        <w:t>***: Se considera un periodo de cinco años en los que no habrá ganancias de captura de CO2, un primer año durante la tala y la plantación y cuatro años que tarda en recuperarse el bosque según Marwin Melga, 2006</w:t>
      </w:r>
      <w:r w:rsidR="00ED7FA9">
        <w:rPr>
          <w:rFonts w:asciiTheme="majorHAnsi" w:hAnsiTheme="majorHAnsi"/>
          <w:sz w:val="18"/>
          <w:szCs w:val="18"/>
        </w:rPr>
        <w:t>.</w:t>
      </w:r>
    </w:p>
    <w:p w:rsidR="00ED7FA9" w:rsidRDefault="00ED7FA9" w:rsidP="00ED7FA9">
      <w:pPr>
        <w:rPr>
          <w:rFonts w:asciiTheme="majorHAnsi" w:hAnsiTheme="majorHAnsi" w:cs="Arial"/>
        </w:rPr>
      </w:pPr>
    </w:p>
    <w:p w:rsidR="00ED7FA9" w:rsidRDefault="00ED7FA9" w:rsidP="00ED7FA9">
      <w:pPr>
        <w:pStyle w:val="Tablas"/>
        <w:rPr>
          <w:rFonts w:asciiTheme="majorHAnsi" w:hAnsiTheme="majorHAnsi"/>
        </w:rPr>
      </w:pPr>
      <w:r>
        <w:t xml:space="preserve">Tabla </w:t>
      </w:r>
      <w:r w:rsidR="006D0D6E">
        <w:fldChar w:fldCharType="begin"/>
      </w:r>
      <w:r w:rsidR="006D0D6E">
        <w:instrText xml:space="preserve"> STYLEREF 1 \s </w:instrText>
      </w:r>
      <w:r w:rsidR="006D0D6E">
        <w:fldChar w:fldCharType="separate"/>
      </w:r>
      <w:r w:rsidR="006D0D6E">
        <w:rPr>
          <w:noProof/>
        </w:rPr>
        <w:t>10</w:t>
      </w:r>
      <w:r w:rsidR="006D0D6E">
        <w:fldChar w:fldCharType="end"/>
      </w:r>
      <w:r w:rsidR="006D0D6E">
        <w:t>.</w:t>
      </w:r>
      <w:r w:rsidR="006D0D6E">
        <w:fldChar w:fldCharType="begin"/>
      </w:r>
      <w:r w:rsidR="006D0D6E">
        <w:instrText xml:space="preserve"> SEQ Tabla \* ARABIC \s 1 </w:instrText>
      </w:r>
      <w:r w:rsidR="006D0D6E">
        <w:fldChar w:fldCharType="separate"/>
      </w:r>
      <w:r w:rsidR="006D0D6E">
        <w:rPr>
          <w:noProof/>
        </w:rPr>
        <w:t>27</w:t>
      </w:r>
      <w:r w:rsidR="006D0D6E">
        <w:fldChar w:fldCharType="end"/>
      </w:r>
      <w:r>
        <w:t xml:space="preserve"> </w:t>
      </w:r>
      <w:r w:rsidRPr="00ED7FA9">
        <w:rPr>
          <w:rFonts w:asciiTheme="majorHAnsi" w:hAnsiTheme="majorHAnsi"/>
        </w:rPr>
        <w:t>Compensación en la capacidad de Captura de CO2</w:t>
      </w:r>
    </w:p>
    <w:tbl>
      <w:tblPr>
        <w:tblStyle w:val="Gminis"/>
        <w:tblW w:w="5000" w:type="pct"/>
        <w:tblLook w:val="04A0" w:firstRow="1" w:lastRow="0" w:firstColumn="1" w:lastColumn="0" w:noHBand="0" w:noVBand="1"/>
      </w:tblPr>
      <w:tblGrid>
        <w:gridCol w:w="2639"/>
        <w:gridCol w:w="1455"/>
        <w:gridCol w:w="1447"/>
        <w:gridCol w:w="1337"/>
        <w:gridCol w:w="1383"/>
      </w:tblGrid>
      <w:tr w:rsidR="004B49C5" w:rsidRPr="004B49C5" w:rsidTr="00A243FB">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gridSpan w:val="5"/>
            <w:tcBorders>
              <w:top w:val="none" w:sz="0" w:space="0" w:color="auto"/>
              <w:left w:val="none" w:sz="0" w:space="0" w:color="auto"/>
              <w:bottom w:val="none" w:sz="0" w:space="0" w:color="auto"/>
              <w:right w:val="none" w:sz="0" w:space="0" w:color="auto"/>
            </w:tcBorders>
            <w:noWrap/>
            <w:vAlign w:val="center"/>
            <w:hideMark/>
          </w:tcPr>
          <w:p w:rsidR="004B49C5" w:rsidRPr="004B49C5" w:rsidRDefault="004B49C5" w:rsidP="004B49C5">
            <w:pPr>
              <w:spacing w:line="240" w:lineRule="auto"/>
              <w:contextualSpacing w:val="0"/>
              <w:jc w:val="center"/>
              <w:rPr>
                <w:rFonts w:eastAsia="Times New Roman"/>
                <w:b w:val="0"/>
                <w:bCs/>
                <w:color w:val="000000"/>
                <w:sz w:val="18"/>
                <w:szCs w:val="18"/>
                <w:lang w:eastAsia="es-CO"/>
              </w:rPr>
            </w:pPr>
            <w:r w:rsidRPr="004B49C5">
              <w:rPr>
                <w:rFonts w:eastAsia="Times New Roman"/>
                <w:bCs/>
                <w:color w:val="000000"/>
                <w:sz w:val="18"/>
                <w:szCs w:val="18"/>
                <w:lang w:eastAsia="es-CO"/>
              </w:rPr>
              <w:t>COMPENSACIÓN EN LA CAPACIDAD DE CAPTURA DE CO2 EN CONSTRUCCIÓN</w:t>
            </w:r>
          </w:p>
        </w:tc>
      </w:tr>
      <w:tr w:rsidR="004B49C5" w:rsidRPr="004B49C5" w:rsidTr="004B49C5">
        <w:trPr>
          <w:trHeight w:val="20"/>
        </w:trPr>
        <w:tc>
          <w:tcPr>
            <w:cnfStyle w:val="001000000000" w:firstRow="0" w:lastRow="0" w:firstColumn="1" w:lastColumn="0" w:oddVBand="0" w:evenVBand="0" w:oddHBand="0" w:evenHBand="0" w:firstRowFirstColumn="0" w:firstRowLastColumn="0" w:lastRowFirstColumn="0" w:lastRowLastColumn="0"/>
            <w:tcW w:w="1598" w:type="pct"/>
            <w:vMerge w:val="restart"/>
            <w:tcBorders>
              <w:left w:val="none" w:sz="0" w:space="0" w:color="auto"/>
            </w:tcBorders>
            <w:vAlign w:val="center"/>
            <w:hideMark/>
          </w:tcPr>
          <w:p w:rsidR="004B49C5" w:rsidRPr="004B49C5" w:rsidRDefault="004B49C5" w:rsidP="004B49C5">
            <w:pPr>
              <w:spacing w:line="240" w:lineRule="auto"/>
              <w:contextualSpacing w:val="0"/>
              <w:jc w:val="center"/>
              <w:rPr>
                <w:rFonts w:eastAsia="Times New Roman"/>
                <w:b/>
                <w:bCs/>
                <w:color w:val="000000"/>
                <w:sz w:val="18"/>
                <w:szCs w:val="18"/>
                <w:lang w:eastAsia="es-CO"/>
              </w:rPr>
            </w:pPr>
            <w:r w:rsidRPr="004B49C5">
              <w:rPr>
                <w:rFonts w:eastAsia="Times New Roman"/>
                <w:b/>
                <w:bCs/>
                <w:color w:val="000000"/>
                <w:sz w:val="18"/>
                <w:szCs w:val="18"/>
                <w:lang w:eastAsia="es-CO"/>
              </w:rPr>
              <w:t>Componente biótico</w:t>
            </w:r>
          </w:p>
        </w:tc>
        <w:tc>
          <w:tcPr>
            <w:tcW w:w="1756" w:type="pct"/>
            <w:gridSpan w:val="2"/>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4B49C5">
              <w:rPr>
                <w:rFonts w:eastAsia="Times New Roman"/>
                <w:b/>
                <w:bCs/>
                <w:color w:val="000000"/>
                <w:sz w:val="18"/>
                <w:szCs w:val="18"/>
                <w:lang w:eastAsia="es-CO"/>
              </w:rPr>
              <w:t>Cobertura vegetal</w:t>
            </w:r>
          </w:p>
        </w:tc>
        <w:tc>
          <w:tcPr>
            <w:tcW w:w="809" w:type="pct"/>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4B49C5">
              <w:rPr>
                <w:rFonts w:eastAsia="Times New Roman"/>
                <w:b/>
                <w:bCs/>
                <w:color w:val="000000"/>
                <w:sz w:val="18"/>
                <w:szCs w:val="18"/>
                <w:lang w:eastAsia="es-CO"/>
              </w:rPr>
              <w:t>Ha a compensar</w:t>
            </w:r>
          </w:p>
        </w:tc>
        <w:tc>
          <w:tcPr>
            <w:tcW w:w="837" w:type="pct"/>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4B49C5">
              <w:rPr>
                <w:rFonts w:eastAsia="Times New Roman"/>
                <w:b/>
                <w:bCs/>
                <w:color w:val="000000"/>
                <w:sz w:val="18"/>
                <w:szCs w:val="18"/>
                <w:lang w:eastAsia="es-CO"/>
              </w:rPr>
              <w:t>VALOR TOTAL ($)</w:t>
            </w:r>
          </w:p>
        </w:tc>
      </w:tr>
      <w:tr w:rsidR="004B49C5" w:rsidRPr="004B49C5" w:rsidTr="00A243FB">
        <w:trPr>
          <w:trHeight w:val="20"/>
        </w:trPr>
        <w:tc>
          <w:tcPr>
            <w:cnfStyle w:val="001000000000" w:firstRow="0" w:lastRow="0" w:firstColumn="1" w:lastColumn="0" w:oddVBand="0" w:evenVBand="0" w:oddHBand="0" w:evenHBand="0" w:firstRowFirstColumn="0" w:firstRowLastColumn="0" w:lastRowFirstColumn="0" w:lastRowLastColumn="0"/>
            <w:tcW w:w="1598" w:type="pct"/>
            <w:vMerge/>
            <w:tcBorders>
              <w:left w:val="none" w:sz="0" w:space="0" w:color="auto"/>
            </w:tcBorders>
            <w:vAlign w:val="center"/>
            <w:hideMark/>
          </w:tcPr>
          <w:p w:rsidR="004B49C5" w:rsidRPr="004B49C5" w:rsidRDefault="004B49C5" w:rsidP="004B49C5">
            <w:pPr>
              <w:spacing w:line="240" w:lineRule="auto"/>
              <w:contextualSpacing w:val="0"/>
              <w:jc w:val="center"/>
              <w:rPr>
                <w:rFonts w:eastAsia="Times New Roman"/>
                <w:b/>
                <w:bCs/>
                <w:color w:val="000000"/>
                <w:sz w:val="18"/>
                <w:szCs w:val="18"/>
                <w:lang w:eastAsia="es-CO"/>
              </w:rPr>
            </w:pPr>
          </w:p>
        </w:tc>
        <w:tc>
          <w:tcPr>
            <w:tcW w:w="1756" w:type="pct"/>
            <w:gridSpan w:val="2"/>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4B49C5">
              <w:rPr>
                <w:rFonts w:eastAsia="Times New Roman"/>
                <w:b/>
                <w:bCs/>
                <w:color w:val="000000"/>
                <w:sz w:val="18"/>
                <w:szCs w:val="18"/>
                <w:lang w:eastAsia="es-CO"/>
              </w:rPr>
              <w:t>Nº Hectáreas</w:t>
            </w:r>
          </w:p>
        </w:tc>
        <w:tc>
          <w:tcPr>
            <w:tcW w:w="809" w:type="pct"/>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39,10</w:t>
            </w:r>
          </w:p>
        </w:tc>
        <w:tc>
          <w:tcPr>
            <w:tcW w:w="837" w:type="pct"/>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39,100</w:t>
            </w:r>
          </w:p>
        </w:tc>
      </w:tr>
      <w:tr w:rsidR="004B49C5" w:rsidRPr="004B49C5" w:rsidTr="00A243FB">
        <w:trPr>
          <w:trHeight w:val="20"/>
        </w:trPr>
        <w:tc>
          <w:tcPr>
            <w:cnfStyle w:val="001000000000" w:firstRow="0" w:lastRow="0" w:firstColumn="1" w:lastColumn="0" w:oddVBand="0" w:evenVBand="0" w:oddHBand="0" w:evenHBand="0" w:firstRowFirstColumn="0" w:firstRowLastColumn="0" w:lastRowFirstColumn="0" w:lastRowLastColumn="0"/>
            <w:tcW w:w="1598" w:type="pct"/>
            <w:vMerge w:val="restart"/>
            <w:tcBorders>
              <w:left w:val="none" w:sz="0" w:space="0" w:color="auto"/>
            </w:tcBorders>
            <w:vAlign w:val="center"/>
            <w:hideMark/>
          </w:tcPr>
          <w:p w:rsidR="004B49C5" w:rsidRPr="004B49C5" w:rsidRDefault="004B49C5" w:rsidP="004B49C5">
            <w:pPr>
              <w:spacing w:line="240" w:lineRule="auto"/>
              <w:contextualSpacing w:val="0"/>
              <w:jc w:val="center"/>
              <w:rPr>
                <w:rFonts w:eastAsia="Times New Roman"/>
                <w:b/>
                <w:bCs/>
                <w:color w:val="000000"/>
                <w:sz w:val="18"/>
                <w:szCs w:val="18"/>
                <w:lang w:eastAsia="es-CO"/>
              </w:rPr>
            </w:pPr>
            <w:r w:rsidRPr="004B49C5">
              <w:rPr>
                <w:rFonts w:eastAsia="Times New Roman"/>
                <w:b/>
                <w:bCs/>
                <w:color w:val="000000"/>
                <w:sz w:val="18"/>
                <w:szCs w:val="18"/>
                <w:lang w:eastAsia="es-CO"/>
              </w:rPr>
              <w:t>Compensación de la capacidad de captura de CO</w:t>
            </w:r>
            <w:r w:rsidRPr="004B49C5">
              <w:rPr>
                <w:rFonts w:eastAsia="Times New Roman"/>
                <w:b/>
                <w:bCs/>
                <w:color w:val="000000"/>
                <w:sz w:val="18"/>
                <w:szCs w:val="18"/>
                <w:vertAlign w:val="subscript"/>
                <w:lang w:eastAsia="es-CO"/>
              </w:rPr>
              <w:t>2</w:t>
            </w:r>
          </w:p>
        </w:tc>
        <w:tc>
          <w:tcPr>
            <w:tcW w:w="880" w:type="pct"/>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Captura de CO</w:t>
            </w:r>
            <w:r w:rsidRPr="004B49C5">
              <w:rPr>
                <w:rFonts w:eastAsia="Times New Roman"/>
                <w:color w:val="000000"/>
                <w:sz w:val="18"/>
                <w:szCs w:val="18"/>
                <w:vertAlign w:val="subscript"/>
                <w:lang w:eastAsia="es-CO"/>
              </w:rPr>
              <w:t>2</w:t>
            </w:r>
          </w:p>
        </w:tc>
        <w:tc>
          <w:tcPr>
            <w:tcW w:w="876" w:type="pct"/>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4B49C5">
              <w:rPr>
                <w:rFonts w:eastAsia="Times New Roman"/>
                <w:sz w:val="18"/>
                <w:szCs w:val="18"/>
                <w:lang w:eastAsia="es-CO"/>
              </w:rPr>
              <w:t>5,21 Ton/Ha/año*</w:t>
            </w:r>
          </w:p>
        </w:tc>
        <w:tc>
          <w:tcPr>
            <w:tcW w:w="809" w:type="pct"/>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4B49C5">
              <w:rPr>
                <w:rFonts w:eastAsia="Times New Roman"/>
                <w:sz w:val="18"/>
                <w:szCs w:val="18"/>
                <w:lang w:eastAsia="es-CO"/>
              </w:rPr>
              <w:t>203,71</w:t>
            </w:r>
          </w:p>
        </w:tc>
        <w:tc>
          <w:tcPr>
            <w:tcW w:w="837" w:type="pct"/>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4B49C5">
              <w:rPr>
                <w:rFonts w:eastAsia="Times New Roman"/>
                <w:sz w:val="18"/>
                <w:szCs w:val="18"/>
                <w:lang w:eastAsia="es-CO"/>
              </w:rPr>
              <w:t>203,71</w:t>
            </w:r>
          </w:p>
        </w:tc>
      </w:tr>
      <w:tr w:rsidR="004B49C5" w:rsidRPr="004B49C5" w:rsidTr="00A243FB">
        <w:trPr>
          <w:trHeight w:val="20"/>
        </w:trPr>
        <w:tc>
          <w:tcPr>
            <w:cnfStyle w:val="001000000000" w:firstRow="0" w:lastRow="0" w:firstColumn="1" w:lastColumn="0" w:oddVBand="0" w:evenVBand="0" w:oddHBand="0" w:evenHBand="0" w:firstRowFirstColumn="0" w:firstRowLastColumn="0" w:lastRowFirstColumn="0" w:lastRowLastColumn="0"/>
            <w:tcW w:w="1598" w:type="pct"/>
            <w:vMerge/>
            <w:tcBorders>
              <w:left w:val="none" w:sz="0" w:space="0" w:color="auto"/>
            </w:tcBorders>
            <w:vAlign w:val="center"/>
            <w:hideMark/>
          </w:tcPr>
          <w:p w:rsidR="004B49C5" w:rsidRPr="004B49C5" w:rsidRDefault="004B49C5" w:rsidP="004B49C5">
            <w:pPr>
              <w:spacing w:line="240" w:lineRule="auto"/>
              <w:contextualSpacing w:val="0"/>
              <w:jc w:val="center"/>
              <w:rPr>
                <w:rFonts w:eastAsia="Times New Roman"/>
                <w:b/>
                <w:bCs/>
                <w:color w:val="000000"/>
                <w:sz w:val="18"/>
                <w:szCs w:val="18"/>
                <w:lang w:eastAsia="es-CO"/>
              </w:rPr>
            </w:pPr>
          </w:p>
        </w:tc>
        <w:tc>
          <w:tcPr>
            <w:tcW w:w="880" w:type="pct"/>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Valor/Tonelada</w:t>
            </w:r>
          </w:p>
        </w:tc>
        <w:tc>
          <w:tcPr>
            <w:tcW w:w="876" w:type="pct"/>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US$10/Ton**</w:t>
            </w:r>
          </w:p>
        </w:tc>
        <w:tc>
          <w:tcPr>
            <w:tcW w:w="809" w:type="pct"/>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2037,11</w:t>
            </w:r>
          </w:p>
        </w:tc>
        <w:tc>
          <w:tcPr>
            <w:tcW w:w="837" w:type="pct"/>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2037,11</w:t>
            </w:r>
          </w:p>
        </w:tc>
      </w:tr>
      <w:tr w:rsidR="004B49C5" w:rsidRPr="004B49C5" w:rsidTr="004B49C5">
        <w:trPr>
          <w:trHeight w:val="20"/>
        </w:trPr>
        <w:tc>
          <w:tcPr>
            <w:cnfStyle w:val="001000000000" w:firstRow="0" w:lastRow="0" w:firstColumn="1" w:lastColumn="0" w:oddVBand="0" w:evenVBand="0" w:oddHBand="0" w:evenHBand="0" w:firstRowFirstColumn="0" w:firstRowLastColumn="0" w:lastRowFirstColumn="0" w:lastRowLastColumn="0"/>
            <w:tcW w:w="1598" w:type="pct"/>
            <w:vMerge/>
            <w:tcBorders>
              <w:left w:val="none" w:sz="0" w:space="0" w:color="auto"/>
            </w:tcBorders>
            <w:vAlign w:val="center"/>
            <w:hideMark/>
          </w:tcPr>
          <w:p w:rsidR="004B49C5" w:rsidRPr="004B49C5" w:rsidRDefault="004B49C5" w:rsidP="004B49C5">
            <w:pPr>
              <w:spacing w:line="240" w:lineRule="auto"/>
              <w:contextualSpacing w:val="0"/>
              <w:jc w:val="center"/>
              <w:rPr>
                <w:rFonts w:eastAsia="Times New Roman"/>
                <w:b/>
                <w:bCs/>
                <w:color w:val="000000"/>
                <w:sz w:val="18"/>
                <w:szCs w:val="18"/>
                <w:lang w:eastAsia="es-CO"/>
              </w:rPr>
            </w:pPr>
          </w:p>
        </w:tc>
        <w:tc>
          <w:tcPr>
            <w:tcW w:w="1756" w:type="pct"/>
            <w:gridSpan w:val="2"/>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Valor anual PESOS ($)</w:t>
            </w:r>
          </w:p>
        </w:tc>
        <w:tc>
          <w:tcPr>
            <w:tcW w:w="809" w:type="pct"/>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6.608.792</w:t>
            </w:r>
          </w:p>
        </w:tc>
        <w:tc>
          <w:tcPr>
            <w:tcW w:w="837" w:type="pct"/>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6.608.792</w:t>
            </w:r>
          </w:p>
        </w:tc>
      </w:tr>
      <w:tr w:rsidR="004B49C5" w:rsidRPr="004B49C5" w:rsidTr="00A243FB">
        <w:trPr>
          <w:trHeight w:val="20"/>
        </w:trPr>
        <w:tc>
          <w:tcPr>
            <w:cnfStyle w:val="001000000000" w:firstRow="0" w:lastRow="0" w:firstColumn="1" w:lastColumn="0" w:oddVBand="0" w:evenVBand="0" w:oddHBand="0" w:evenHBand="0" w:firstRowFirstColumn="0" w:firstRowLastColumn="0" w:lastRowFirstColumn="0" w:lastRowLastColumn="0"/>
            <w:tcW w:w="1598" w:type="pct"/>
            <w:vMerge/>
            <w:tcBorders>
              <w:left w:val="none" w:sz="0" w:space="0" w:color="auto"/>
            </w:tcBorders>
            <w:vAlign w:val="center"/>
            <w:hideMark/>
          </w:tcPr>
          <w:p w:rsidR="004B49C5" w:rsidRPr="004B49C5" w:rsidRDefault="004B49C5" w:rsidP="004B49C5">
            <w:pPr>
              <w:spacing w:line="240" w:lineRule="auto"/>
              <w:contextualSpacing w:val="0"/>
              <w:jc w:val="center"/>
              <w:rPr>
                <w:rFonts w:eastAsia="Times New Roman"/>
                <w:b/>
                <w:bCs/>
                <w:color w:val="000000"/>
                <w:sz w:val="18"/>
                <w:szCs w:val="18"/>
                <w:lang w:eastAsia="es-CO"/>
              </w:rPr>
            </w:pPr>
          </w:p>
        </w:tc>
        <w:tc>
          <w:tcPr>
            <w:tcW w:w="1756" w:type="pct"/>
            <w:gridSpan w:val="2"/>
            <w:noWrap/>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Años establecimiento***</w:t>
            </w:r>
          </w:p>
        </w:tc>
        <w:tc>
          <w:tcPr>
            <w:tcW w:w="809" w:type="pct"/>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5</w:t>
            </w:r>
          </w:p>
        </w:tc>
        <w:tc>
          <w:tcPr>
            <w:tcW w:w="837" w:type="pct"/>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5</w:t>
            </w:r>
          </w:p>
        </w:tc>
      </w:tr>
      <w:tr w:rsidR="004B49C5" w:rsidRPr="004B49C5" w:rsidTr="004B49C5">
        <w:trPr>
          <w:trHeight w:val="20"/>
        </w:trPr>
        <w:tc>
          <w:tcPr>
            <w:cnfStyle w:val="001000000000" w:firstRow="0" w:lastRow="0" w:firstColumn="1" w:lastColumn="0" w:oddVBand="0" w:evenVBand="0" w:oddHBand="0" w:evenHBand="0" w:firstRowFirstColumn="0" w:firstRowLastColumn="0" w:lastRowFirstColumn="0" w:lastRowLastColumn="0"/>
            <w:tcW w:w="1598" w:type="pct"/>
            <w:vMerge/>
            <w:tcBorders>
              <w:left w:val="none" w:sz="0" w:space="0" w:color="auto"/>
            </w:tcBorders>
            <w:vAlign w:val="center"/>
            <w:hideMark/>
          </w:tcPr>
          <w:p w:rsidR="004B49C5" w:rsidRPr="004B49C5" w:rsidRDefault="004B49C5" w:rsidP="004B49C5">
            <w:pPr>
              <w:spacing w:line="240" w:lineRule="auto"/>
              <w:contextualSpacing w:val="0"/>
              <w:jc w:val="center"/>
              <w:rPr>
                <w:rFonts w:eastAsia="Times New Roman"/>
                <w:b/>
                <w:bCs/>
                <w:color w:val="000000"/>
                <w:sz w:val="18"/>
                <w:szCs w:val="18"/>
                <w:lang w:eastAsia="es-CO"/>
              </w:rPr>
            </w:pPr>
          </w:p>
        </w:tc>
        <w:tc>
          <w:tcPr>
            <w:tcW w:w="1756" w:type="pct"/>
            <w:gridSpan w:val="2"/>
            <w:shd w:val="clear" w:color="auto" w:fill="F2F2F2" w:themeFill="background1" w:themeFillShade="F2"/>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4B49C5">
              <w:rPr>
                <w:rFonts w:eastAsia="Times New Roman"/>
                <w:b/>
                <w:bCs/>
                <w:color w:val="000000"/>
                <w:sz w:val="18"/>
                <w:szCs w:val="18"/>
                <w:lang w:eastAsia="es-CO"/>
              </w:rPr>
              <w:t>Valor Total Pesos ($)</w:t>
            </w:r>
          </w:p>
        </w:tc>
        <w:tc>
          <w:tcPr>
            <w:tcW w:w="809" w:type="pct"/>
            <w:shd w:val="clear" w:color="auto" w:fill="F2F2F2" w:themeFill="background1" w:themeFillShade="F2"/>
            <w:noWrap/>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4B49C5">
              <w:rPr>
                <w:rFonts w:eastAsia="Times New Roman"/>
                <w:b/>
                <w:bCs/>
                <w:color w:val="000000"/>
                <w:sz w:val="18"/>
                <w:szCs w:val="18"/>
                <w:lang w:eastAsia="es-CO"/>
              </w:rPr>
              <w:t>33.043.961</w:t>
            </w:r>
          </w:p>
        </w:tc>
        <w:tc>
          <w:tcPr>
            <w:tcW w:w="837" w:type="pct"/>
            <w:shd w:val="clear" w:color="auto" w:fill="F2F2F2" w:themeFill="background1" w:themeFillShade="F2"/>
            <w:noWrap/>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lang w:eastAsia="es-CO"/>
              </w:rPr>
            </w:pPr>
            <w:r w:rsidRPr="004B49C5">
              <w:rPr>
                <w:rFonts w:eastAsia="Times New Roman"/>
                <w:b/>
                <w:bCs/>
                <w:color w:val="000000"/>
                <w:sz w:val="18"/>
                <w:szCs w:val="18"/>
                <w:lang w:eastAsia="es-CO"/>
              </w:rPr>
              <w:t>33.043.961</w:t>
            </w:r>
          </w:p>
        </w:tc>
      </w:tr>
      <w:tr w:rsidR="004B49C5" w:rsidRPr="004B49C5" w:rsidTr="00A243FB">
        <w:trPr>
          <w:trHeight w:val="20"/>
        </w:trPr>
        <w:tc>
          <w:tcPr>
            <w:cnfStyle w:val="001000000000" w:firstRow="0" w:lastRow="0" w:firstColumn="1" w:lastColumn="0" w:oddVBand="0" w:evenVBand="0" w:oddHBand="0" w:evenHBand="0" w:firstRowFirstColumn="0" w:firstRowLastColumn="0" w:lastRowFirstColumn="0" w:lastRowLastColumn="0"/>
            <w:tcW w:w="1598" w:type="pct"/>
            <w:vMerge/>
            <w:tcBorders>
              <w:left w:val="none" w:sz="0" w:space="0" w:color="auto"/>
            </w:tcBorders>
            <w:vAlign w:val="center"/>
            <w:hideMark/>
          </w:tcPr>
          <w:p w:rsidR="004B49C5" w:rsidRPr="004B49C5" w:rsidRDefault="004B49C5" w:rsidP="004B49C5">
            <w:pPr>
              <w:spacing w:line="240" w:lineRule="auto"/>
              <w:contextualSpacing w:val="0"/>
              <w:jc w:val="center"/>
              <w:rPr>
                <w:rFonts w:eastAsia="Times New Roman"/>
                <w:b/>
                <w:bCs/>
                <w:color w:val="000000"/>
                <w:sz w:val="18"/>
                <w:szCs w:val="18"/>
                <w:lang w:eastAsia="es-CO"/>
              </w:rPr>
            </w:pPr>
          </w:p>
        </w:tc>
        <w:tc>
          <w:tcPr>
            <w:tcW w:w="1756" w:type="pct"/>
            <w:gridSpan w:val="2"/>
            <w:noWrap/>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Valor Presente Neto ($)</w:t>
            </w:r>
          </w:p>
        </w:tc>
        <w:tc>
          <w:tcPr>
            <w:tcW w:w="809" w:type="pct"/>
            <w:noWrap/>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29.503.537</w:t>
            </w:r>
          </w:p>
        </w:tc>
        <w:tc>
          <w:tcPr>
            <w:tcW w:w="837" w:type="pct"/>
            <w:noWrap/>
            <w:vAlign w:val="center"/>
            <w:hideMark/>
          </w:tcPr>
          <w:p w:rsidR="004B49C5" w:rsidRPr="004B49C5" w:rsidRDefault="004B49C5" w:rsidP="004B49C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s-CO"/>
              </w:rPr>
            </w:pPr>
            <w:r w:rsidRPr="004B49C5">
              <w:rPr>
                <w:rFonts w:eastAsia="Times New Roman"/>
                <w:color w:val="000000"/>
                <w:sz w:val="18"/>
                <w:szCs w:val="18"/>
                <w:lang w:eastAsia="es-CO"/>
              </w:rPr>
              <w:t>29.503.537</w:t>
            </w:r>
          </w:p>
        </w:tc>
      </w:tr>
    </w:tbl>
    <w:p w:rsidR="00ED7FA9" w:rsidRPr="00AA0A2C" w:rsidRDefault="00ED7FA9" w:rsidP="00ED7FA9">
      <w:pPr>
        <w:pStyle w:val="Notas"/>
        <w:rPr>
          <w:rFonts w:asciiTheme="majorHAnsi" w:hAnsiTheme="majorHAnsi"/>
        </w:rPr>
      </w:pPr>
      <w:r w:rsidRPr="00AA0A2C">
        <w:rPr>
          <w:rFonts w:asciiTheme="majorHAnsi" w:hAnsiTheme="majorHAnsi"/>
        </w:rPr>
        <w:t>Fuente: Autopista Rio Magdalena S.A.S., 2016.</w:t>
      </w:r>
    </w:p>
    <w:p w:rsidR="00ED7FA9" w:rsidRPr="00ED7FA9" w:rsidRDefault="00ED7FA9" w:rsidP="00ED7FA9">
      <w:pPr>
        <w:rPr>
          <w:rFonts w:asciiTheme="majorHAnsi" w:hAnsiTheme="majorHAnsi"/>
          <w:sz w:val="18"/>
        </w:rPr>
      </w:pPr>
      <w:r w:rsidRPr="00ED7FA9">
        <w:rPr>
          <w:rFonts w:asciiTheme="majorHAnsi" w:hAnsiTheme="majorHAnsi"/>
          <w:sz w:val="18"/>
        </w:rPr>
        <w:t>*: La tasa de absorción de CO2 de los bosques es de 5,21 tCO2/Ha/año se obtuvo del Panel Internacional sobre Cambio Climático (IPCC, 2001).</w:t>
      </w:r>
      <w:r w:rsidRPr="00ED7FA9">
        <w:rPr>
          <w:rFonts w:asciiTheme="majorHAnsi" w:hAnsiTheme="majorHAnsi"/>
          <w:sz w:val="18"/>
        </w:rPr>
        <w:tab/>
      </w:r>
      <w:r w:rsidRPr="00ED7FA9">
        <w:rPr>
          <w:rFonts w:asciiTheme="majorHAnsi" w:hAnsiTheme="majorHAnsi"/>
          <w:sz w:val="18"/>
        </w:rPr>
        <w:tab/>
      </w:r>
      <w:r w:rsidRPr="00ED7FA9">
        <w:rPr>
          <w:rFonts w:asciiTheme="majorHAnsi" w:hAnsiTheme="majorHAnsi"/>
          <w:sz w:val="18"/>
        </w:rPr>
        <w:tab/>
      </w:r>
      <w:r w:rsidRPr="00ED7FA9">
        <w:rPr>
          <w:rFonts w:asciiTheme="majorHAnsi" w:hAnsiTheme="majorHAnsi"/>
          <w:sz w:val="18"/>
        </w:rPr>
        <w:tab/>
      </w:r>
    </w:p>
    <w:p w:rsidR="00ED7FA9" w:rsidRPr="00ED7FA9" w:rsidRDefault="00ED7FA9" w:rsidP="00ED7FA9">
      <w:pPr>
        <w:rPr>
          <w:rFonts w:asciiTheme="majorHAnsi" w:hAnsiTheme="majorHAnsi"/>
          <w:sz w:val="18"/>
        </w:rPr>
      </w:pPr>
      <w:r w:rsidRPr="00ED7FA9">
        <w:rPr>
          <w:rFonts w:asciiTheme="majorHAnsi" w:hAnsiTheme="majorHAnsi"/>
          <w:sz w:val="18"/>
        </w:rPr>
        <w:t>**: El valor de la tonelada de CO2 se obtuvo del Banco Mundial. Ton. CO2 = US$10 y se maneja con una tasa de cambio promedio para diciembre de 2015 ($3.244,20/US$)</w:t>
      </w:r>
      <w:r w:rsidRPr="00ED7FA9">
        <w:rPr>
          <w:rFonts w:asciiTheme="majorHAnsi" w:hAnsiTheme="majorHAnsi"/>
          <w:sz w:val="18"/>
        </w:rPr>
        <w:tab/>
      </w:r>
      <w:r w:rsidRPr="00ED7FA9">
        <w:rPr>
          <w:rFonts w:asciiTheme="majorHAnsi" w:hAnsiTheme="majorHAnsi"/>
          <w:sz w:val="18"/>
        </w:rPr>
        <w:tab/>
      </w:r>
      <w:r w:rsidRPr="00ED7FA9">
        <w:rPr>
          <w:rFonts w:asciiTheme="majorHAnsi" w:hAnsiTheme="majorHAnsi"/>
          <w:sz w:val="18"/>
        </w:rPr>
        <w:tab/>
      </w:r>
      <w:r w:rsidRPr="00ED7FA9">
        <w:rPr>
          <w:rFonts w:asciiTheme="majorHAnsi" w:hAnsiTheme="majorHAnsi"/>
          <w:sz w:val="18"/>
        </w:rPr>
        <w:tab/>
      </w:r>
    </w:p>
    <w:p w:rsidR="00ED7FA9" w:rsidRDefault="00ED7FA9" w:rsidP="00ED7FA9">
      <w:pPr>
        <w:rPr>
          <w:rFonts w:asciiTheme="majorHAnsi" w:hAnsiTheme="majorHAnsi"/>
          <w:sz w:val="18"/>
        </w:rPr>
      </w:pPr>
      <w:r w:rsidRPr="00ED7FA9">
        <w:rPr>
          <w:rFonts w:asciiTheme="majorHAnsi" w:hAnsiTheme="majorHAnsi"/>
          <w:sz w:val="18"/>
        </w:rPr>
        <w:t>***: Se considera un periodo de cinco años en los que no habrá ganancias de captura de CO2, un primer año durante la tala y la plantación y cuatro años que tarda en recuperarse el bosque según Marwin Melga, 2006</w:t>
      </w:r>
      <w:r>
        <w:rPr>
          <w:rFonts w:asciiTheme="majorHAnsi" w:hAnsiTheme="majorHAnsi"/>
          <w:sz w:val="18"/>
        </w:rPr>
        <w:t>.</w:t>
      </w:r>
    </w:p>
    <w:p w:rsidR="00AA0A2C" w:rsidRPr="00ED7FA9" w:rsidRDefault="00ED7FA9" w:rsidP="00ED7FA9">
      <w:pPr>
        <w:rPr>
          <w:rFonts w:asciiTheme="majorHAnsi" w:hAnsiTheme="majorHAnsi"/>
          <w:b/>
          <w:bCs/>
          <w:sz w:val="18"/>
          <w:szCs w:val="18"/>
        </w:rPr>
      </w:pPr>
      <w:r w:rsidRPr="00ED7FA9">
        <w:rPr>
          <w:rFonts w:asciiTheme="majorHAnsi" w:hAnsiTheme="majorHAnsi"/>
          <w:sz w:val="18"/>
        </w:rPr>
        <w:tab/>
      </w:r>
      <w:bookmarkStart w:id="102" w:name="_Toc357176574"/>
      <w:bookmarkStart w:id="103" w:name="_Toc367786939"/>
      <w:bookmarkStart w:id="104" w:name="_Toc381338349"/>
    </w:p>
    <w:p w:rsidR="00AA0A2C" w:rsidRPr="00AA0A2C" w:rsidRDefault="00AA0A2C" w:rsidP="00C77CA9">
      <w:pPr>
        <w:pStyle w:val="Ttulo2"/>
      </w:pPr>
      <w:r w:rsidRPr="00AA0A2C">
        <w:t>Análisis costo beneficio del proyecto</w:t>
      </w:r>
      <w:bookmarkEnd w:id="102"/>
      <w:bookmarkEnd w:id="103"/>
      <w:bookmarkEnd w:id="104"/>
    </w:p>
    <w:p w:rsidR="00AA0A2C" w:rsidRPr="00AA0A2C" w:rsidRDefault="00AA0A2C" w:rsidP="00AA0A2C">
      <w:pPr>
        <w:tabs>
          <w:tab w:val="left" w:pos="0"/>
          <w:tab w:val="left" w:pos="2492"/>
        </w:tabs>
        <w:rPr>
          <w:rFonts w:asciiTheme="majorHAnsi" w:hAnsiTheme="majorHAnsi" w:cs="Arial"/>
        </w:rPr>
      </w:pPr>
    </w:p>
    <w:p w:rsidR="00AA0A2C" w:rsidRDefault="00AA0A2C" w:rsidP="00AA0A2C">
      <w:pPr>
        <w:pStyle w:val="Prrafodelista"/>
        <w:tabs>
          <w:tab w:val="left" w:pos="0"/>
          <w:tab w:val="left" w:pos="851"/>
        </w:tabs>
        <w:ind w:left="0"/>
        <w:rPr>
          <w:rFonts w:asciiTheme="majorHAnsi" w:hAnsiTheme="majorHAnsi" w:cs="Arial"/>
          <w:b/>
        </w:rPr>
      </w:pPr>
      <w:r w:rsidRPr="00AA0A2C">
        <w:rPr>
          <w:rFonts w:asciiTheme="majorHAnsi" w:hAnsiTheme="majorHAnsi" w:cs="Arial"/>
        </w:rPr>
        <w:t>En las siguientes Tablas se muestran con detalle los beneficios y costos ambientales para el corredor vial; donde los costos ambientales totales asciend</w:t>
      </w:r>
      <w:r w:rsidRPr="006D0D6E">
        <w:rPr>
          <w:rFonts w:asciiTheme="majorHAnsi" w:hAnsiTheme="majorHAnsi" w:cs="Arial"/>
        </w:rPr>
        <w:t xml:space="preserve">en a </w:t>
      </w:r>
      <w:r w:rsidRPr="006D0D6E">
        <w:rPr>
          <w:rFonts w:asciiTheme="majorHAnsi" w:hAnsiTheme="majorHAnsi" w:cs="Arial"/>
          <w:b/>
        </w:rPr>
        <w:t>$</w:t>
      </w:r>
      <w:r w:rsidR="006D0D6E" w:rsidRPr="006D0D6E">
        <w:rPr>
          <w:rFonts w:asciiTheme="majorHAnsi" w:hAnsiTheme="majorHAnsi" w:cs="Arial"/>
          <w:b/>
        </w:rPr>
        <w:t>8.421.071.410</w:t>
      </w:r>
      <w:r w:rsidR="006D0D6E">
        <w:rPr>
          <w:rFonts w:asciiTheme="majorHAnsi" w:hAnsiTheme="majorHAnsi" w:cs="Arial"/>
          <w:b/>
        </w:rPr>
        <w:t xml:space="preserve"> </w:t>
      </w:r>
      <w:r w:rsidRPr="00AA0A2C">
        <w:rPr>
          <w:rFonts w:asciiTheme="majorHAnsi" w:hAnsiTheme="majorHAnsi" w:cs="Arial"/>
        </w:rPr>
        <w:t xml:space="preserve">y los </w:t>
      </w:r>
      <w:r w:rsidRPr="006D0D6E">
        <w:rPr>
          <w:rFonts w:asciiTheme="majorHAnsi" w:hAnsiTheme="majorHAnsi" w:cs="Arial"/>
        </w:rPr>
        <w:t xml:space="preserve">beneficios totales ascienden a </w:t>
      </w:r>
      <w:r w:rsidRPr="006D0D6E">
        <w:rPr>
          <w:rFonts w:asciiTheme="majorHAnsi" w:hAnsiTheme="majorHAnsi" w:cs="Arial"/>
          <w:b/>
        </w:rPr>
        <w:t xml:space="preserve">$ </w:t>
      </w:r>
      <w:r w:rsidR="006D0D6E" w:rsidRPr="006D0D6E">
        <w:rPr>
          <w:rFonts w:asciiTheme="majorHAnsi" w:hAnsiTheme="majorHAnsi" w:cs="Arial"/>
          <w:b/>
        </w:rPr>
        <w:t xml:space="preserve">8.858.086.753. </w:t>
      </w:r>
      <w:r w:rsidRPr="006D0D6E">
        <w:rPr>
          <w:rFonts w:asciiTheme="majorHAnsi" w:hAnsiTheme="majorHAnsi" w:cs="Arial"/>
        </w:rPr>
        <w:t xml:space="preserve">Por </w:t>
      </w:r>
      <w:r w:rsidR="006D0D6E" w:rsidRPr="006D0D6E">
        <w:rPr>
          <w:rFonts w:asciiTheme="majorHAnsi" w:hAnsiTheme="majorHAnsi" w:cs="Arial"/>
        </w:rPr>
        <w:t>tanto,</w:t>
      </w:r>
      <w:r w:rsidRPr="006D0D6E">
        <w:rPr>
          <w:rFonts w:asciiTheme="majorHAnsi" w:eastAsia="Times New Roman" w:hAnsiTheme="majorHAnsi" w:cs="Arial"/>
          <w:b/>
          <w:bCs/>
          <w:lang w:eastAsia="es-CO"/>
        </w:rPr>
        <w:t xml:space="preserve"> </w:t>
      </w:r>
      <w:r w:rsidRPr="006D0D6E">
        <w:rPr>
          <w:rFonts w:asciiTheme="majorHAnsi" w:hAnsiTheme="majorHAnsi" w:cs="Arial"/>
        </w:rPr>
        <w:t xml:space="preserve">la Relación Costo / Beneficio total es de </w:t>
      </w:r>
      <w:r w:rsidR="006D0D6E" w:rsidRPr="006D0D6E">
        <w:rPr>
          <w:rFonts w:asciiTheme="majorHAnsi" w:hAnsiTheme="majorHAnsi" w:cs="Arial"/>
          <w:b/>
        </w:rPr>
        <w:t>1,05</w:t>
      </w:r>
      <w:r w:rsidRPr="006D0D6E">
        <w:rPr>
          <w:rFonts w:asciiTheme="majorHAnsi" w:hAnsiTheme="majorHAnsi" w:cs="Arial"/>
          <w:b/>
        </w:rPr>
        <w:t>.</w:t>
      </w:r>
    </w:p>
    <w:p w:rsidR="004B49C5" w:rsidRDefault="004B49C5" w:rsidP="00AA0A2C">
      <w:pPr>
        <w:pStyle w:val="Prrafodelista"/>
        <w:tabs>
          <w:tab w:val="left" w:pos="0"/>
          <w:tab w:val="left" w:pos="851"/>
        </w:tabs>
        <w:ind w:left="0"/>
        <w:rPr>
          <w:rFonts w:asciiTheme="majorHAnsi" w:hAnsiTheme="majorHAnsi" w:cs="Arial"/>
          <w:b/>
        </w:rPr>
      </w:pPr>
    </w:p>
    <w:p w:rsidR="004B49C5" w:rsidRDefault="004B49C5" w:rsidP="00AA0A2C">
      <w:pPr>
        <w:pStyle w:val="Prrafodelista"/>
        <w:tabs>
          <w:tab w:val="left" w:pos="0"/>
          <w:tab w:val="left" w:pos="851"/>
        </w:tabs>
        <w:ind w:left="0"/>
        <w:rPr>
          <w:rFonts w:asciiTheme="majorHAnsi" w:hAnsiTheme="majorHAnsi" w:cs="Arial"/>
          <w:b/>
        </w:rPr>
      </w:pPr>
    </w:p>
    <w:p w:rsidR="004B49C5" w:rsidRDefault="004B49C5" w:rsidP="00AA0A2C">
      <w:pPr>
        <w:pStyle w:val="Prrafodelista"/>
        <w:tabs>
          <w:tab w:val="left" w:pos="0"/>
          <w:tab w:val="left" w:pos="851"/>
        </w:tabs>
        <w:ind w:left="0"/>
        <w:rPr>
          <w:rFonts w:asciiTheme="majorHAnsi" w:hAnsiTheme="majorHAnsi" w:cs="Arial"/>
          <w:b/>
        </w:rPr>
      </w:pPr>
    </w:p>
    <w:p w:rsidR="004B49C5" w:rsidRDefault="004B49C5" w:rsidP="00AA0A2C">
      <w:pPr>
        <w:pStyle w:val="Prrafodelista"/>
        <w:tabs>
          <w:tab w:val="left" w:pos="0"/>
          <w:tab w:val="left" w:pos="851"/>
        </w:tabs>
        <w:ind w:left="0"/>
        <w:rPr>
          <w:rFonts w:asciiTheme="majorHAnsi" w:hAnsiTheme="majorHAnsi" w:cs="Arial"/>
          <w:b/>
        </w:rPr>
      </w:pPr>
    </w:p>
    <w:p w:rsidR="004B49C5" w:rsidRDefault="004B49C5" w:rsidP="00AA0A2C">
      <w:pPr>
        <w:pStyle w:val="Prrafodelista"/>
        <w:tabs>
          <w:tab w:val="left" w:pos="0"/>
          <w:tab w:val="left" w:pos="851"/>
        </w:tabs>
        <w:ind w:left="0"/>
        <w:rPr>
          <w:rFonts w:asciiTheme="majorHAnsi" w:hAnsiTheme="majorHAnsi" w:cs="Arial"/>
          <w:b/>
        </w:rPr>
      </w:pPr>
    </w:p>
    <w:p w:rsidR="004B49C5" w:rsidRDefault="004B49C5" w:rsidP="00AA0A2C">
      <w:pPr>
        <w:pStyle w:val="Prrafodelista"/>
        <w:tabs>
          <w:tab w:val="left" w:pos="0"/>
          <w:tab w:val="left" w:pos="851"/>
        </w:tabs>
        <w:ind w:left="0"/>
        <w:rPr>
          <w:rFonts w:asciiTheme="majorHAnsi" w:hAnsiTheme="majorHAnsi" w:cs="Arial"/>
          <w:b/>
        </w:rPr>
      </w:pPr>
    </w:p>
    <w:p w:rsidR="004B49C5" w:rsidRDefault="004B49C5" w:rsidP="004B49C5">
      <w:pPr>
        <w:spacing w:line="240" w:lineRule="auto"/>
        <w:contextualSpacing w:val="0"/>
        <w:jc w:val="center"/>
        <w:rPr>
          <w:rFonts w:eastAsia="Times New Roman"/>
          <w:b/>
          <w:bCs/>
          <w:sz w:val="18"/>
          <w:szCs w:val="18"/>
          <w:lang w:eastAsia="es-CO"/>
        </w:rPr>
        <w:sectPr w:rsidR="004B49C5" w:rsidSect="00F0791D">
          <w:headerReference w:type="default" r:id="rId20"/>
          <w:footerReference w:type="even" r:id="rId21"/>
          <w:footerReference w:type="default" r:id="rId22"/>
          <w:pgSz w:w="12240" w:h="15840" w:orient="landscape" w:code="1"/>
          <w:pgMar w:top="1701" w:right="1701" w:bottom="1701" w:left="2268" w:header="709" w:footer="709" w:gutter="0"/>
          <w:cols w:space="708"/>
          <w:titlePg/>
          <w:docGrid w:linePitch="360"/>
        </w:sectPr>
      </w:pPr>
    </w:p>
    <w:p w:rsidR="006D0D6E" w:rsidRDefault="006D0D6E" w:rsidP="006D0D6E">
      <w:pPr>
        <w:pStyle w:val="Tablas"/>
        <w:rPr>
          <w:rFonts w:asciiTheme="majorHAnsi" w:hAnsiTheme="majorHAnsi" w:cs="Arial"/>
        </w:rPr>
      </w:pPr>
      <w:r>
        <w:t xml:space="preserve">Tabla </w:t>
      </w:r>
      <w:r>
        <w:fldChar w:fldCharType="begin"/>
      </w:r>
      <w:r>
        <w:instrText xml:space="preserve"> STYLEREF 1 \s </w:instrText>
      </w:r>
      <w:r>
        <w:fldChar w:fldCharType="separate"/>
      </w:r>
      <w:r>
        <w:rPr>
          <w:noProof/>
        </w:rPr>
        <w:t>10</w:t>
      </w:r>
      <w:r>
        <w:fldChar w:fldCharType="end"/>
      </w:r>
      <w:r>
        <w:t>.</w:t>
      </w:r>
      <w:r>
        <w:fldChar w:fldCharType="begin"/>
      </w:r>
      <w:r>
        <w:instrText xml:space="preserve"> SEQ Tabla \* ARABIC \s 1 </w:instrText>
      </w:r>
      <w:r>
        <w:fldChar w:fldCharType="separate"/>
      </w:r>
      <w:r>
        <w:rPr>
          <w:noProof/>
        </w:rPr>
        <w:t>28</w:t>
      </w:r>
      <w:r>
        <w:fldChar w:fldCharType="end"/>
      </w:r>
      <w:r>
        <w:t xml:space="preserve"> Flujo de Beneficios y Costos</w:t>
      </w:r>
    </w:p>
    <w:tbl>
      <w:tblPr>
        <w:tblW w:w="0" w:type="auto"/>
        <w:tblCellMar>
          <w:left w:w="70" w:type="dxa"/>
          <w:right w:w="70" w:type="dxa"/>
        </w:tblCellMar>
        <w:tblLook w:val="04A0" w:firstRow="1" w:lastRow="0" w:firstColumn="1" w:lastColumn="0" w:noHBand="0" w:noVBand="1"/>
      </w:tblPr>
      <w:tblGrid>
        <w:gridCol w:w="1560"/>
        <w:gridCol w:w="935"/>
        <w:gridCol w:w="935"/>
        <w:gridCol w:w="935"/>
        <w:gridCol w:w="836"/>
        <w:gridCol w:w="935"/>
        <w:gridCol w:w="935"/>
        <w:gridCol w:w="935"/>
        <w:gridCol w:w="935"/>
        <w:gridCol w:w="935"/>
        <w:gridCol w:w="935"/>
        <w:gridCol w:w="935"/>
        <w:gridCol w:w="935"/>
        <w:gridCol w:w="935"/>
        <w:gridCol w:w="935"/>
        <w:gridCol w:w="935"/>
        <w:gridCol w:w="935"/>
        <w:gridCol w:w="935"/>
        <w:gridCol w:w="935"/>
        <w:gridCol w:w="935"/>
        <w:gridCol w:w="935"/>
      </w:tblGrid>
      <w:tr w:rsidR="006D0D6E" w:rsidRPr="006D0D6E" w:rsidTr="00635034">
        <w:trPr>
          <w:trHeight w:val="20"/>
        </w:trPr>
        <w:tc>
          <w:tcPr>
            <w:tcW w:w="20161" w:type="dxa"/>
            <w:gridSpan w:val="21"/>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RELACIÓN COSTO BENEFICIO</w:t>
            </w:r>
          </w:p>
        </w:tc>
      </w:tr>
      <w:tr w:rsidR="00635034" w:rsidRPr="006D0D6E" w:rsidTr="00635034">
        <w:trPr>
          <w:trHeight w:val="20"/>
        </w:trPr>
        <w:tc>
          <w:tcPr>
            <w:tcW w:w="1560" w:type="dxa"/>
            <w:tcBorders>
              <w:top w:val="single" w:sz="4" w:space="0" w:color="auto"/>
              <w:left w:val="single" w:sz="4" w:space="0" w:color="auto"/>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BENEFICIOS</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1</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2</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3</w:t>
            </w:r>
          </w:p>
        </w:tc>
        <w:tc>
          <w:tcPr>
            <w:tcW w:w="836"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4</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5</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6</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7</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8</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9</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10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11</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12</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13</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14</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15</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16</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17</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18</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19</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20</w:t>
            </w:r>
          </w:p>
        </w:tc>
      </w:tr>
      <w:tr w:rsidR="006D0D6E" w:rsidRPr="006D0D6E" w:rsidTr="00635034">
        <w:trPr>
          <w:trHeight w:val="20"/>
        </w:trPr>
        <w:tc>
          <w:tcPr>
            <w:tcW w:w="20161" w:type="dxa"/>
            <w:gridSpan w:val="21"/>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635034">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COMPONENTE BIÓTICO</w:t>
            </w:r>
          </w:p>
        </w:tc>
      </w:tr>
      <w:tr w:rsidR="00635034" w:rsidRPr="006D0D6E" w:rsidTr="00635034">
        <w:trPr>
          <w:trHeight w:val="20"/>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Recuperación del recurso boscoso</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89.839.875</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89.839.875</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89.839.875</w:t>
            </w:r>
          </w:p>
        </w:tc>
        <w:tc>
          <w:tcPr>
            <w:tcW w:w="836"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89.839.875</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89.839.875</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89.839.875</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89.839.875</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89.839.875</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89.839.875</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89.839.875</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89.839.875</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89.839.875</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89.839.875</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89.839.875</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89.839.875</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89.839.875</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89.839.875</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89.839.875</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89.839.875</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89.839.875</w:t>
            </w:r>
          </w:p>
        </w:tc>
      </w:tr>
      <w:tr w:rsidR="00635034" w:rsidRPr="006D0D6E" w:rsidTr="00635034">
        <w:trPr>
          <w:trHeight w:val="20"/>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Compensación Pérdida Biodiversidad - Recuperación de la regulación hídrica</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836"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671.006.830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671.006.830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671.006.830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671.006.830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671.006.830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671.006.830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671.006.830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671.006.830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671.006.830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671.006.830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671.006.830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671.006.830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671.006.830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671.006.830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671.006.830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671.006.830</w:t>
            </w:r>
          </w:p>
        </w:tc>
      </w:tr>
      <w:tr w:rsidR="00635034" w:rsidRPr="006D0D6E" w:rsidTr="00635034">
        <w:trPr>
          <w:trHeight w:val="20"/>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Compensación Pérdida Biodiversidad - Recuperación de la capacidad de retención de sedimentos</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836"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508.300.000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508.300.000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508.300.000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508.300.000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508.300.000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508.300.000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508.300.000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508.300.000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508.300.000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508.300.000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508.300.000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508.300.000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508.300.000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508.300.000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508.300.000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508.300.000</w:t>
            </w:r>
          </w:p>
        </w:tc>
      </w:tr>
      <w:tr w:rsidR="00635034" w:rsidRPr="006D0D6E" w:rsidTr="00635034">
        <w:trPr>
          <w:trHeight w:val="20"/>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Compensación Pérdida Biodiversidad - Recuperación de la captura de CO2</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836"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33.043.961</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33.043.961</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33.043.961</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33.043.961</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33.043.961</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33.043.961</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33.043.961</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33.043.961</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33.043.961</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33.043.961</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33.043.961</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33.043.961</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33.043.961</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33.043.961</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33.043.961</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33.043.961</w:t>
            </w:r>
          </w:p>
        </w:tc>
      </w:tr>
      <w:tr w:rsidR="00635034" w:rsidRPr="006D0D6E" w:rsidTr="00635034">
        <w:trPr>
          <w:trHeight w:val="20"/>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Recuperación del recurso boscoso</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9.097.630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9.097.630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9.097.630</w:t>
            </w:r>
          </w:p>
        </w:tc>
        <w:tc>
          <w:tcPr>
            <w:tcW w:w="836"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9.097.630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9.097.630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9.097.630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9.097.630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9.097.630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9.097.630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9.097.630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9.097.630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9.097.630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9.097.630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9.097.630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9.097.630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9.097.630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9.097.630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9.097.630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9.097.630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9.097.630</w:t>
            </w:r>
          </w:p>
        </w:tc>
      </w:tr>
      <w:tr w:rsidR="00635034" w:rsidRPr="006D0D6E" w:rsidTr="00635034">
        <w:trPr>
          <w:trHeight w:val="20"/>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Compensación Forestal - Recuperación de la regulación hídrica</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836"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67.949.472</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67.949.472</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67.949.472</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67.949.472</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67.949.472</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67.949.472</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67.949.472</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67.949.472</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67.949.472</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67.949.472</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67.949.472</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67.949.472</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67.949.472</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67.949.472</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67.949.472</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67.949.472</w:t>
            </w:r>
          </w:p>
        </w:tc>
      </w:tr>
      <w:tr w:rsidR="00635034" w:rsidRPr="006D0D6E" w:rsidTr="00635034">
        <w:trPr>
          <w:trHeight w:val="20"/>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Compensación Forestal - Recuperación de la capacidad de retención de sedimentos</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836"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51.472.973</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51.472.973</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51.472.973</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51.472.973</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51.472.973</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51.472.973</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51.472.973</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51.472.973</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51.472.973</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51.472.973</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51.472.973</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51.472.973</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51.472.973</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51.472.973</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51.472.973</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51.472.973</w:t>
            </w:r>
          </w:p>
        </w:tc>
      </w:tr>
      <w:tr w:rsidR="00635034" w:rsidRPr="006D0D6E" w:rsidTr="00635034">
        <w:trPr>
          <w:trHeight w:val="20"/>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Compensación Forestal - Recuperación de la captura de CO2</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836"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3.346.195</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3.346.195</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3.346.195</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3.346.195</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3.346.195</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3.346.195</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3.346.195</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3.346.195</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3.346.195</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3.346.195</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3.346.195</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3.346.195</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3.346.195</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3.346.195</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3.346.195</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3.346.195</w:t>
            </w:r>
          </w:p>
        </w:tc>
      </w:tr>
      <w:tr w:rsidR="006D0D6E" w:rsidRPr="006D0D6E" w:rsidTr="00635034">
        <w:trPr>
          <w:trHeight w:val="20"/>
        </w:trPr>
        <w:tc>
          <w:tcPr>
            <w:tcW w:w="20161" w:type="dxa"/>
            <w:gridSpan w:val="21"/>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635034">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COMPONENTE SOCIOECONÓMICO</w:t>
            </w:r>
          </w:p>
        </w:tc>
      </w:tr>
      <w:tr w:rsidR="00635034" w:rsidRPr="006D0D6E" w:rsidTr="00635034">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Inversión del 1%</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1.402.937.453</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836"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r>
      <w:tr w:rsidR="00635034" w:rsidRPr="006D0D6E" w:rsidTr="00635034">
        <w:trPr>
          <w:trHeight w:val="20"/>
        </w:trPr>
        <w:tc>
          <w:tcPr>
            <w:tcW w:w="1560" w:type="dxa"/>
            <w:tcBorders>
              <w:top w:val="single" w:sz="4" w:space="0" w:color="auto"/>
              <w:left w:val="single" w:sz="4" w:space="0" w:color="auto"/>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TOTAL BENEFICIOS</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color w:val="000000"/>
                <w:sz w:val="12"/>
                <w:szCs w:val="14"/>
                <w:lang w:eastAsia="es-CO"/>
              </w:rPr>
            </w:pPr>
            <w:r w:rsidRPr="006D0D6E">
              <w:rPr>
                <w:rFonts w:asciiTheme="majorHAnsi" w:eastAsia="Times New Roman" w:hAnsiTheme="majorHAnsi"/>
                <w:b/>
                <w:bCs/>
                <w:color w:val="000000"/>
                <w:sz w:val="12"/>
                <w:szCs w:val="14"/>
                <w:lang w:eastAsia="es-CO"/>
              </w:rPr>
              <w:t>1.501.874.958</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color w:val="000000"/>
                <w:sz w:val="12"/>
                <w:szCs w:val="14"/>
                <w:lang w:eastAsia="es-CO"/>
              </w:rPr>
            </w:pPr>
            <w:r w:rsidRPr="006D0D6E">
              <w:rPr>
                <w:rFonts w:asciiTheme="majorHAnsi" w:eastAsia="Times New Roman" w:hAnsiTheme="majorHAnsi"/>
                <w:b/>
                <w:bCs/>
                <w:color w:val="000000"/>
                <w:sz w:val="12"/>
                <w:szCs w:val="14"/>
                <w:lang w:eastAsia="es-CO"/>
              </w:rPr>
              <w:t>98.937.505</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color w:val="000000"/>
                <w:sz w:val="12"/>
                <w:szCs w:val="14"/>
                <w:lang w:eastAsia="es-CO"/>
              </w:rPr>
            </w:pPr>
            <w:r w:rsidRPr="006D0D6E">
              <w:rPr>
                <w:rFonts w:asciiTheme="majorHAnsi" w:eastAsia="Times New Roman" w:hAnsiTheme="majorHAnsi"/>
                <w:b/>
                <w:bCs/>
                <w:color w:val="000000"/>
                <w:sz w:val="12"/>
                <w:szCs w:val="14"/>
                <w:lang w:eastAsia="es-CO"/>
              </w:rPr>
              <w:t>98.937.505</w:t>
            </w:r>
          </w:p>
        </w:tc>
        <w:tc>
          <w:tcPr>
            <w:tcW w:w="836"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color w:val="000000"/>
                <w:sz w:val="12"/>
                <w:szCs w:val="14"/>
                <w:lang w:eastAsia="es-CO"/>
              </w:rPr>
            </w:pPr>
            <w:r w:rsidRPr="006D0D6E">
              <w:rPr>
                <w:rFonts w:asciiTheme="majorHAnsi" w:eastAsia="Times New Roman" w:hAnsiTheme="majorHAnsi"/>
                <w:b/>
                <w:bCs/>
                <w:color w:val="000000"/>
                <w:sz w:val="12"/>
                <w:szCs w:val="14"/>
                <w:lang w:eastAsia="es-CO"/>
              </w:rPr>
              <w:t>98.937.505</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color w:val="000000"/>
                <w:sz w:val="12"/>
                <w:szCs w:val="14"/>
                <w:lang w:eastAsia="es-CO"/>
              </w:rPr>
            </w:pPr>
            <w:r w:rsidRPr="006D0D6E">
              <w:rPr>
                <w:rFonts w:asciiTheme="majorHAnsi" w:eastAsia="Times New Roman" w:hAnsiTheme="majorHAnsi"/>
                <w:b/>
                <w:bCs/>
                <w:color w:val="000000"/>
                <w:sz w:val="12"/>
                <w:szCs w:val="14"/>
                <w:lang w:eastAsia="es-CO"/>
              </w:rPr>
              <w:t>1.434.056.936</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color w:val="000000"/>
                <w:sz w:val="12"/>
                <w:szCs w:val="14"/>
                <w:lang w:eastAsia="es-CO"/>
              </w:rPr>
            </w:pPr>
            <w:r w:rsidRPr="006D0D6E">
              <w:rPr>
                <w:rFonts w:asciiTheme="majorHAnsi" w:eastAsia="Times New Roman" w:hAnsiTheme="majorHAnsi"/>
                <w:b/>
                <w:bCs/>
                <w:color w:val="000000"/>
                <w:sz w:val="12"/>
                <w:szCs w:val="14"/>
                <w:lang w:eastAsia="es-CO"/>
              </w:rPr>
              <w:t>1.434.056.936</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color w:val="000000"/>
                <w:sz w:val="12"/>
                <w:szCs w:val="14"/>
                <w:lang w:eastAsia="es-CO"/>
              </w:rPr>
            </w:pPr>
            <w:r w:rsidRPr="006D0D6E">
              <w:rPr>
                <w:rFonts w:asciiTheme="majorHAnsi" w:eastAsia="Times New Roman" w:hAnsiTheme="majorHAnsi"/>
                <w:b/>
                <w:bCs/>
                <w:color w:val="000000"/>
                <w:sz w:val="12"/>
                <w:szCs w:val="14"/>
                <w:lang w:eastAsia="es-CO"/>
              </w:rPr>
              <w:t>1.434.056.936</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color w:val="000000"/>
                <w:sz w:val="12"/>
                <w:szCs w:val="14"/>
                <w:lang w:eastAsia="es-CO"/>
              </w:rPr>
            </w:pPr>
            <w:r w:rsidRPr="006D0D6E">
              <w:rPr>
                <w:rFonts w:asciiTheme="majorHAnsi" w:eastAsia="Times New Roman" w:hAnsiTheme="majorHAnsi"/>
                <w:b/>
                <w:bCs/>
                <w:color w:val="000000"/>
                <w:sz w:val="12"/>
                <w:szCs w:val="14"/>
                <w:lang w:eastAsia="es-CO"/>
              </w:rPr>
              <w:t>1.434.056.936</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color w:val="000000"/>
                <w:sz w:val="12"/>
                <w:szCs w:val="14"/>
                <w:lang w:eastAsia="es-CO"/>
              </w:rPr>
            </w:pPr>
            <w:r w:rsidRPr="006D0D6E">
              <w:rPr>
                <w:rFonts w:asciiTheme="majorHAnsi" w:eastAsia="Times New Roman" w:hAnsiTheme="majorHAnsi"/>
                <w:b/>
                <w:bCs/>
                <w:color w:val="000000"/>
                <w:sz w:val="12"/>
                <w:szCs w:val="14"/>
                <w:lang w:eastAsia="es-CO"/>
              </w:rPr>
              <w:t>1.434.056.936</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color w:val="000000"/>
                <w:sz w:val="12"/>
                <w:szCs w:val="14"/>
                <w:lang w:eastAsia="es-CO"/>
              </w:rPr>
            </w:pPr>
            <w:r w:rsidRPr="006D0D6E">
              <w:rPr>
                <w:rFonts w:asciiTheme="majorHAnsi" w:eastAsia="Times New Roman" w:hAnsiTheme="majorHAnsi"/>
                <w:b/>
                <w:bCs/>
                <w:color w:val="000000"/>
                <w:sz w:val="12"/>
                <w:szCs w:val="14"/>
                <w:lang w:eastAsia="es-CO"/>
              </w:rPr>
              <w:t>1.434.056.936</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color w:val="000000"/>
                <w:sz w:val="12"/>
                <w:szCs w:val="14"/>
                <w:lang w:eastAsia="es-CO"/>
              </w:rPr>
            </w:pPr>
            <w:r w:rsidRPr="006D0D6E">
              <w:rPr>
                <w:rFonts w:asciiTheme="majorHAnsi" w:eastAsia="Times New Roman" w:hAnsiTheme="majorHAnsi"/>
                <w:b/>
                <w:bCs/>
                <w:color w:val="000000"/>
                <w:sz w:val="12"/>
                <w:szCs w:val="14"/>
                <w:lang w:eastAsia="es-CO"/>
              </w:rPr>
              <w:t>1.434.056.936</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color w:val="000000"/>
                <w:sz w:val="12"/>
                <w:szCs w:val="14"/>
                <w:lang w:eastAsia="es-CO"/>
              </w:rPr>
            </w:pPr>
            <w:r w:rsidRPr="006D0D6E">
              <w:rPr>
                <w:rFonts w:asciiTheme="majorHAnsi" w:eastAsia="Times New Roman" w:hAnsiTheme="majorHAnsi"/>
                <w:b/>
                <w:bCs/>
                <w:color w:val="000000"/>
                <w:sz w:val="12"/>
                <w:szCs w:val="14"/>
                <w:lang w:eastAsia="es-CO"/>
              </w:rPr>
              <w:t>1.434.056.936</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color w:val="000000"/>
                <w:sz w:val="12"/>
                <w:szCs w:val="14"/>
                <w:lang w:eastAsia="es-CO"/>
              </w:rPr>
            </w:pPr>
            <w:r w:rsidRPr="006D0D6E">
              <w:rPr>
                <w:rFonts w:asciiTheme="majorHAnsi" w:eastAsia="Times New Roman" w:hAnsiTheme="majorHAnsi"/>
                <w:b/>
                <w:bCs/>
                <w:color w:val="000000"/>
                <w:sz w:val="12"/>
                <w:szCs w:val="14"/>
                <w:lang w:eastAsia="es-CO"/>
              </w:rPr>
              <w:t>1.434.056.936</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color w:val="000000"/>
                <w:sz w:val="12"/>
                <w:szCs w:val="14"/>
                <w:lang w:eastAsia="es-CO"/>
              </w:rPr>
            </w:pPr>
            <w:r w:rsidRPr="006D0D6E">
              <w:rPr>
                <w:rFonts w:asciiTheme="majorHAnsi" w:eastAsia="Times New Roman" w:hAnsiTheme="majorHAnsi"/>
                <w:b/>
                <w:bCs/>
                <w:color w:val="000000"/>
                <w:sz w:val="12"/>
                <w:szCs w:val="14"/>
                <w:lang w:eastAsia="es-CO"/>
              </w:rPr>
              <w:t>1.434.056.936</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color w:val="000000"/>
                <w:sz w:val="12"/>
                <w:szCs w:val="14"/>
                <w:lang w:eastAsia="es-CO"/>
              </w:rPr>
            </w:pPr>
            <w:r w:rsidRPr="006D0D6E">
              <w:rPr>
                <w:rFonts w:asciiTheme="majorHAnsi" w:eastAsia="Times New Roman" w:hAnsiTheme="majorHAnsi"/>
                <w:b/>
                <w:bCs/>
                <w:color w:val="000000"/>
                <w:sz w:val="12"/>
                <w:szCs w:val="14"/>
                <w:lang w:eastAsia="es-CO"/>
              </w:rPr>
              <w:t>1.434.056.936</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color w:val="000000"/>
                <w:sz w:val="12"/>
                <w:szCs w:val="14"/>
                <w:lang w:eastAsia="es-CO"/>
              </w:rPr>
            </w:pPr>
            <w:r w:rsidRPr="006D0D6E">
              <w:rPr>
                <w:rFonts w:asciiTheme="majorHAnsi" w:eastAsia="Times New Roman" w:hAnsiTheme="majorHAnsi"/>
                <w:b/>
                <w:bCs/>
                <w:color w:val="000000"/>
                <w:sz w:val="12"/>
                <w:szCs w:val="14"/>
                <w:lang w:eastAsia="es-CO"/>
              </w:rPr>
              <w:t>1.434.056.936</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color w:val="000000"/>
                <w:sz w:val="12"/>
                <w:szCs w:val="14"/>
                <w:lang w:eastAsia="es-CO"/>
              </w:rPr>
            </w:pPr>
            <w:r w:rsidRPr="006D0D6E">
              <w:rPr>
                <w:rFonts w:asciiTheme="majorHAnsi" w:eastAsia="Times New Roman" w:hAnsiTheme="majorHAnsi"/>
                <w:b/>
                <w:bCs/>
                <w:color w:val="000000"/>
                <w:sz w:val="12"/>
                <w:szCs w:val="14"/>
                <w:lang w:eastAsia="es-CO"/>
              </w:rPr>
              <w:t>1.434.056.936</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color w:val="000000"/>
                <w:sz w:val="12"/>
                <w:szCs w:val="14"/>
                <w:lang w:eastAsia="es-CO"/>
              </w:rPr>
            </w:pPr>
            <w:r w:rsidRPr="006D0D6E">
              <w:rPr>
                <w:rFonts w:asciiTheme="majorHAnsi" w:eastAsia="Times New Roman" w:hAnsiTheme="majorHAnsi"/>
                <w:b/>
                <w:bCs/>
                <w:color w:val="000000"/>
                <w:sz w:val="12"/>
                <w:szCs w:val="14"/>
                <w:lang w:eastAsia="es-CO"/>
              </w:rPr>
              <w:t>1.434.056.936</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color w:val="000000"/>
                <w:sz w:val="12"/>
                <w:szCs w:val="14"/>
                <w:lang w:eastAsia="es-CO"/>
              </w:rPr>
            </w:pPr>
            <w:r w:rsidRPr="006D0D6E">
              <w:rPr>
                <w:rFonts w:asciiTheme="majorHAnsi" w:eastAsia="Times New Roman" w:hAnsiTheme="majorHAnsi"/>
                <w:b/>
                <w:bCs/>
                <w:color w:val="000000"/>
                <w:sz w:val="12"/>
                <w:szCs w:val="14"/>
                <w:lang w:eastAsia="es-CO"/>
              </w:rPr>
              <w:t>1.434.056.936</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color w:val="000000"/>
                <w:sz w:val="12"/>
                <w:szCs w:val="14"/>
                <w:lang w:eastAsia="es-CO"/>
              </w:rPr>
            </w:pPr>
            <w:r w:rsidRPr="006D0D6E">
              <w:rPr>
                <w:rFonts w:asciiTheme="majorHAnsi" w:eastAsia="Times New Roman" w:hAnsiTheme="majorHAnsi"/>
                <w:b/>
                <w:bCs/>
                <w:color w:val="000000"/>
                <w:sz w:val="12"/>
                <w:szCs w:val="14"/>
                <w:lang w:eastAsia="es-CO"/>
              </w:rPr>
              <w:t>1.434.056.936</w:t>
            </w:r>
          </w:p>
        </w:tc>
      </w:tr>
      <w:tr w:rsidR="00635034" w:rsidRPr="006D0D6E" w:rsidTr="00635034">
        <w:trPr>
          <w:trHeight w:val="20"/>
        </w:trPr>
        <w:tc>
          <w:tcPr>
            <w:tcW w:w="1560" w:type="dxa"/>
            <w:tcBorders>
              <w:top w:val="nil"/>
              <w:left w:val="nil"/>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 </w:t>
            </w:r>
          </w:p>
        </w:tc>
        <w:tc>
          <w:tcPr>
            <w:tcW w:w="935" w:type="dxa"/>
            <w:tcBorders>
              <w:top w:val="nil"/>
              <w:left w:val="nil"/>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836" w:type="dxa"/>
            <w:tcBorders>
              <w:top w:val="nil"/>
              <w:left w:val="nil"/>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r>
      <w:tr w:rsidR="00635034" w:rsidRPr="006D0D6E" w:rsidTr="00635034">
        <w:trPr>
          <w:trHeight w:val="20"/>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 </w:t>
            </w:r>
            <w:r w:rsidR="00635034">
              <w:rPr>
                <w:rFonts w:asciiTheme="majorHAnsi" w:eastAsia="Times New Roman" w:hAnsiTheme="majorHAnsi"/>
                <w:b/>
                <w:bCs/>
                <w:sz w:val="12"/>
                <w:szCs w:val="14"/>
                <w:lang w:eastAsia="es-CO"/>
              </w:rPr>
              <w:t>COSTOS</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1</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2</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3</w:t>
            </w:r>
          </w:p>
        </w:tc>
        <w:tc>
          <w:tcPr>
            <w:tcW w:w="836"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4</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5</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6</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7</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8</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9</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10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11</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12</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13</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14</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15</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16</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17</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18</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19</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20</w:t>
            </w:r>
          </w:p>
        </w:tc>
      </w:tr>
      <w:tr w:rsidR="006D0D6E" w:rsidRPr="006D0D6E" w:rsidTr="00635034">
        <w:trPr>
          <w:trHeight w:val="20"/>
        </w:trPr>
        <w:tc>
          <w:tcPr>
            <w:tcW w:w="20161" w:type="dxa"/>
            <w:gridSpan w:val="21"/>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635034">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COMPONENTE ABIÓTICO</w:t>
            </w:r>
          </w:p>
        </w:tc>
      </w:tr>
      <w:tr w:rsidR="00635034" w:rsidRPr="006D0D6E" w:rsidTr="00635034">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D6E" w:rsidRPr="006D0D6E" w:rsidRDefault="006D0D6E" w:rsidP="00A7454D">
            <w:pPr>
              <w:spacing w:line="240" w:lineRule="auto"/>
              <w:contextualSpacing w:val="0"/>
              <w:jc w:val="lef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 xml:space="preserve"> Afectación de la actividad ganadera  </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779.935.324</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751.133.061</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751.133.061</w:t>
            </w:r>
          </w:p>
        </w:tc>
        <w:tc>
          <w:tcPr>
            <w:tcW w:w="836"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751.133.061</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751.133.061</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751.133.061</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751.133.061</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751.133.061</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751.133.061</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751.133.061</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751.133.061</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751.133.061</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751.133.061</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751.133.061</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751.133.061</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751.133.061</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751.133.061</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751.133.061</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751.133.061</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751.133.061</w:t>
            </w:r>
          </w:p>
        </w:tc>
      </w:tr>
      <w:tr w:rsidR="00635034" w:rsidRPr="006D0D6E" w:rsidTr="00635034">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D0D6E" w:rsidRPr="006D0D6E" w:rsidRDefault="006D0D6E" w:rsidP="00A7454D">
            <w:pPr>
              <w:spacing w:line="240" w:lineRule="auto"/>
              <w:contextualSpacing w:val="0"/>
              <w:jc w:val="lef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 xml:space="preserve"> Afectación a la salud de la población </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12.640.320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12.640.320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12.640.320</w:t>
            </w:r>
          </w:p>
        </w:tc>
        <w:tc>
          <w:tcPr>
            <w:tcW w:w="836"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r>
      <w:tr w:rsidR="00635034" w:rsidRPr="006D0D6E" w:rsidTr="00635034">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D0D6E" w:rsidRPr="006D0D6E" w:rsidRDefault="006D0D6E" w:rsidP="00A7454D">
            <w:pPr>
              <w:spacing w:line="240" w:lineRule="auto"/>
              <w:contextualSpacing w:val="0"/>
              <w:jc w:val="lef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 xml:space="preserve"> Demanda Hídrica </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569.203</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569.203</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569.203</w:t>
            </w:r>
          </w:p>
        </w:tc>
        <w:tc>
          <w:tcPr>
            <w:tcW w:w="836"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r>
      <w:tr w:rsidR="006D0D6E" w:rsidRPr="006D0D6E" w:rsidTr="00635034">
        <w:trPr>
          <w:trHeight w:val="20"/>
        </w:trPr>
        <w:tc>
          <w:tcPr>
            <w:tcW w:w="20161" w:type="dxa"/>
            <w:gridSpan w:val="21"/>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635034">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COMPONENTE BIÓTICO</w:t>
            </w:r>
          </w:p>
        </w:tc>
      </w:tr>
      <w:tr w:rsidR="00635034" w:rsidRPr="006D0D6E" w:rsidTr="00635034">
        <w:trPr>
          <w:trHeight w:val="20"/>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Pérdida del recurso boscoso</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7.214.843</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7.214.843</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7.214.843</w:t>
            </w:r>
          </w:p>
        </w:tc>
        <w:tc>
          <w:tcPr>
            <w:tcW w:w="836"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7.214.843</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7.214.843</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7.214.843</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7.214.843</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7.214.843</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7.214.843</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7.214.843</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7.214.843</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7.214.843</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7.214.843</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7.214.843</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7.214.843</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7.214.843</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7.214.843</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7.214.843</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7.214.843</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7.214.843</w:t>
            </w:r>
          </w:p>
        </w:tc>
      </w:tr>
      <w:tr w:rsidR="00635034" w:rsidRPr="006D0D6E" w:rsidTr="00635034">
        <w:trPr>
          <w:trHeight w:val="20"/>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Perdida por regulación hídrica</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102.624.574</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102.624.574</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102.624.574</w:t>
            </w:r>
          </w:p>
        </w:tc>
        <w:tc>
          <w:tcPr>
            <w:tcW w:w="836"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102.624.574</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102.624.574</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102.624.574</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102.624.574</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102.624.574</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102.624.574</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102.624.574</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102.624.574</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102.624.574</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102.624.574</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102.624.574</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102.624.574</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102.624.574</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102.624.574</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102.624.574</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102.624.574</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102.624.574</w:t>
            </w:r>
          </w:p>
        </w:tc>
      </w:tr>
      <w:tr w:rsidR="00635034" w:rsidRPr="006D0D6E" w:rsidTr="00635034">
        <w:trPr>
          <w:trHeight w:val="20"/>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Perdida por captura de CO2</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77.740.000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77.740.000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77.740.000</w:t>
            </w:r>
          </w:p>
        </w:tc>
        <w:tc>
          <w:tcPr>
            <w:tcW w:w="836"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77.740.000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77.740.000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77.740.000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77.740.000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77.740.000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77.740.000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77.740.000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77.740.000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77.740.000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77.740.000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77.740.000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77.740.000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77.740.000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77.740.000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77.740.000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77.740.000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77.740.000</w:t>
            </w:r>
          </w:p>
        </w:tc>
      </w:tr>
      <w:tr w:rsidR="00635034" w:rsidRPr="006D0D6E" w:rsidTr="00635034">
        <w:trPr>
          <w:trHeight w:val="20"/>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Perdida de la capacidad de retención de sedimentos</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5.053.782</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5.053.782</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5.053.782</w:t>
            </w:r>
          </w:p>
        </w:tc>
        <w:tc>
          <w:tcPr>
            <w:tcW w:w="836"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5.053.782</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5.053.782</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5.053.782</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5.053.782</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5.053.782</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5.053.782</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5.053.782</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5.053.782</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5.053.782</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5.053.782</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5.053.782</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5.053.782</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5.053.782</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5.053.782</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5.053.782</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5.053.782</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5.053.782</w:t>
            </w:r>
          </w:p>
        </w:tc>
      </w:tr>
      <w:tr w:rsidR="00635034" w:rsidRPr="006D0D6E" w:rsidTr="00635034">
        <w:trPr>
          <w:trHeight w:val="20"/>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Aprovechamiento forestal</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19.113.689</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836"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r>
      <w:tr w:rsidR="006D0D6E" w:rsidRPr="006D0D6E" w:rsidTr="00635034">
        <w:trPr>
          <w:trHeight w:val="20"/>
        </w:trPr>
        <w:tc>
          <w:tcPr>
            <w:tcW w:w="20161" w:type="dxa"/>
            <w:gridSpan w:val="21"/>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635034">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COMPONENTE SOCIOECONÓMICO</w:t>
            </w:r>
          </w:p>
        </w:tc>
      </w:tr>
      <w:tr w:rsidR="00635034" w:rsidRPr="006D0D6E" w:rsidTr="00635034">
        <w:trPr>
          <w:trHeight w:val="20"/>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D0D6E" w:rsidRPr="006D0D6E" w:rsidRDefault="006D0D6E" w:rsidP="00A7454D">
            <w:pPr>
              <w:spacing w:line="240" w:lineRule="auto"/>
              <w:contextualSpacing w:val="0"/>
              <w:jc w:val="lef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Afectación del Empleo Pecuario</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164.414.438</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164.414.438</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164.414.438</w:t>
            </w:r>
          </w:p>
        </w:tc>
        <w:tc>
          <w:tcPr>
            <w:tcW w:w="836"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single" w:sz="4" w:space="0" w:color="auto"/>
              <w:right w:val="single" w:sz="4" w:space="0" w:color="auto"/>
            </w:tcBorders>
            <w:shd w:val="thinReverseDiagStripe" w:color="80808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r>
      <w:tr w:rsidR="00635034" w:rsidRPr="006D0D6E" w:rsidTr="00635034">
        <w:trPr>
          <w:trHeight w:val="20"/>
        </w:trPr>
        <w:tc>
          <w:tcPr>
            <w:tcW w:w="15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TOTAL COSTOS</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color w:val="000000"/>
                <w:sz w:val="12"/>
                <w:szCs w:val="14"/>
                <w:lang w:eastAsia="es-CO"/>
              </w:rPr>
            </w:pPr>
            <w:r w:rsidRPr="006D0D6E">
              <w:rPr>
                <w:rFonts w:asciiTheme="majorHAnsi" w:eastAsia="Times New Roman" w:hAnsiTheme="majorHAnsi"/>
                <w:b/>
                <w:bCs/>
                <w:color w:val="000000"/>
                <w:sz w:val="12"/>
                <w:szCs w:val="14"/>
                <w:lang w:eastAsia="es-CO"/>
              </w:rPr>
              <w:t>1.169.306.174</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color w:val="000000"/>
                <w:sz w:val="12"/>
                <w:szCs w:val="14"/>
                <w:lang w:eastAsia="es-CO"/>
              </w:rPr>
            </w:pPr>
            <w:r w:rsidRPr="006D0D6E">
              <w:rPr>
                <w:rFonts w:asciiTheme="majorHAnsi" w:eastAsia="Times New Roman" w:hAnsiTheme="majorHAnsi"/>
                <w:b/>
                <w:bCs/>
                <w:color w:val="000000"/>
                <w:sz w:val="12"/>
                <w:szCs w:val="14"/>
                <w:lang w:eastAsia="es-CO"/>
              </w:rPr>
              <w:t>1.121.390.222</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color w:val="000000"/>
                <w:sz w:val="12"/>
                <w:szCs w:val="14"/>
                <w:lang w:eastAsia="es-CO"/>
              </w:rPr>
            </w:pPr>
            <w:r w:rsidRPr="006D0D6E">
              <w:rPr>
                <w:rFonts w:asciiTheme="majorHAnsi" w:eastAsia="Times New Roman" w:hAnsiTheme="majorHAnsi"/>
                <w:b/>
                <w:bCs/>
                <w:color w:val="000000"/>
                <w:sz w:val="12"/>
                <w:szCs w:val="14"/>
                <w:lang w:eastAsia="es-CO"/>
              </w:rPr>
              <w:t>1.121.390.222</w:t>
            </w:r>
          </w:p>
        </w:tc>
        <w:tc>
          <w:tcPr>
            <w:tcW w:w="836"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color w:val="000000"/>
                <w:sz w:val="12"/>
                <w:szCs w:val="14"/>
                <w:lang w:eastAsia="es-CO"/>
              </w:rPr>
            </w:pPr>
            <w:r w:rsidRPr="006D0D6E">
              <w:rPr>
                <w:rFonts w:asciiTheme="majorHAnsi" w:eastAsia="Times New Roman" w:hAnsiTheme="majorHAnsi"/>
                <w:b/>
                <w:bCs/>
                <w:color w:val="000000"/>
                <w:sz w:val="12"/>
                <w:szCs w:val="14"/>
                <w:lang w:eastAsia="es-CO"/>
              </w:rPr>
              <w:t>943.766.260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color w:val="000000"/>
                <w:sz w:val="12"/>
                <w:szCs w:val="14"/>
                <w:lang w:eastAsia="es-CO"/>
              </w:rPr>
            </w:pPr>
            <w:r w:rsidRPr="006D0D6E">
              <w:rPr>
                <w:rFonts w:asciiTheme="majorHAnsi" w:eastAsia="Times New Roman" w:hAnsiTheme="majorHAnsi"/>
                <w:b/>
                <w:bCs/>
                <w:color w:val="000000"/>
                <w:sz w:val="12"/>
                <w:szCs w:val="14"/>
                <w:lang w:eastAsia="es-CO"/>
              </w:rPr>
              <w:t>943.766.260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color w:val="000000"/>
                <w:sz w:val="12"/>
                <w:szCs w:val="14"/>
                <w:lang w:eastAsia="es-CO"/>
              </w:rPr>
            </w:pPr>
            <w:r w:rsidRPr="006D0D6E">
              <w:rPr>
                <w:rFonts w:asciiTheme="majorHAnsi" w:eastAsia="Times New Roman" w:hAnsiTheme="majorHAnsi"/>
                <w:b/>
                <w:bCs/>
                <w:color w:val="000000"/>
                <w:sz w:val="12"/>
                <w:szCs w:val="14"/>
                <w:lang w:eastAsia="es-CO"/>
              </w:rPr>
              <w:t>943.766.260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color w:val="000000"/>
                <w:sz w:val="12"/>
                <w:szCs w:val="14"/>
                <w:lang w:eastAsia="es-CO"/>
              </w:rPr>
            </w:pPr>
            <w:r w:rsidRPr="006D0D6E">
              <w:rPr>
                <w:rFonts w:asciiTheme="majorHAnsi" w:eastAsia="Times New Roman" w:hAnsiTheme="majorHAnsi"/>
                <w:b/>
                <w:bCs/>
                <w:color w:val="000000"/>
                <w:sz w:val="12"/>
                <w:szCs w:val="14"/>
                <w:lang w:eastAsia="es-CO"/>
              </w:rPr>
              <w:t>943.766.260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color w:val="000000"/>
                <w:sz w:val="12"/>
                <w:szCs w:val="14"/>
                <w:lang w:eastAsia="es-CO"/>
              </w:rPr>
            </w:pPr>
            <w:r w:rsidRPr="006D0D6E">
              <w:rPr>
                <w:rFonts w:asciiTheme="majorHAnsi" w:eastAsia="Times New Roman" w:hAnsiTheme="majorHAnsi"/>
                <w:b/>
                <w:bCs/>
                <w:color w:val="000000"/>
                <w:sz w:val="12"/>
                <w:szCs w:val="14"/>
                <w:lang w:eastAsia="es-CO"/>
              </w:rPr>
              <w:t>943.766.260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color w:val="000000"/>
                <w:sz w:val="12"/>
                <w:szCs w:val="14"/>
                <w:lang w:eastAsia="es-CO"/>
              </w:rPr>
            </w:pPr>
            <w:r w:rsidRPr="006D0D6E">
              <w:rPr>
                <w:rFonts w:asciiTheme="majorHAnsi" w:eastAsia="Times New Roman" w:hAnsiTheme="majorHAnsi"/>
                <w:b/>
                <w:bCs/>
                <w:color w:val="000000"/>
                <w:sz w:val="12"/>
                <w:szCs w:val="14"/>
                <w:lang w:eastAsia="es-CO"/>
              </w:rPr>
              <w:t>943.766.260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color w:val="000000"/>
                <w:sz w:val="12"/>
                <w:szCs w:val="14"/>
                <w:lang w:eastAsia="es-CO"/>
              </w:rPr>
            </w:pPr>
            <w:r w:rsidRPr="006D0D6E">
              <w:rPr>
                <w:rFonts w:asciiTheme="majorHAnsi" w:eastAsia="Times New Roman" w:hAnsiTheme="majorHAnsi"/>
                <w:b/>
                <w:bCs/>
                <w:color w:val="000000"/>
                <w:sz w:val="12"/>
                <w:szCs w:val="14"/>
                <w:lang w:eastAsia="es-CO"/>
              </w:rPr>
              <w:t>943.766.260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color w:val="000000"/>
                <w:sz w:val="12"/>
                <w:szCs w:val="14"/>
                <w:lang w:eastAsia="es-CO"/>
              </w:rPr>
            </w:pPr>
            <w:r w:rsidRPr="006D0D6E">
              <w:rPr>
                <w:rFonts w:asciiTheme="majorHAnsi" w:eastAsia="Times New Roman" w:hAnsiTheme="majorHAnsi"/>
                <w:b/>
                <w:bCs/>
                <w:color w:val="000000"/>
                <w:sz w:val="12"/>
                <w:szCs w:val="14"/>
                <w:lang w:eastAsia="es-CO"/>
              </w:rPr>
              <w:t>943.766.260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color w:val="000000"/>
                <w:sz w:val="12"/>
                <w:szCs w:val="14"/>
                <w:lang w:eastAsia="es-CO"/>
              </w:rPr>
            </w:pPr>
            <w:r w:rsidRPr="006D0D6E">
              <w:rPr>
                <w:rFonts w:asciiTheme="majorHAnsi" w:eastAsia="Times New Roman" w:hAnsiTheme="majorHAnsi"/>
                <w:b/>
                <w:bCs/>
                <w:color w:val="000000"/>
                <w:sz w:val="12"/>
                <w:szCs w:val="14"/>
                <w:lang w:eastAsia="es-CO"/>
              </w:rPr>
              <w:t>943.766.260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color w:val="000000"/>
                <w:sz w:val="12"/>
                <w:szCs w:val="14"/>
                <w:lang w:eastAsia="es-CO"/>
              </w:rPr>
            </w:pPr>
            <w:r w:rsidRPr="006D0D6E">
              <w:rPr>
                <w:rFonts w:asciiTheme="majorHAnsi" w:eastAsia="Times New Roman" w:hAnsiTheme="majorHAnsi"/>
                <w:b/>
                <w:bCs/>
                <w:color w:val="000000"/>
                <w:sz w:val="12"/>
                <w:szCs w:val="14"/>
                <w:lang w:eastAsia="es-CO"/>
              </w:rPr>
              <w:t>943.766.260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color w:val="000000"/>
                <w:sz w:val="12"/>
                <w:szCs w:val="14"/>
                <w:lang w:eastAsia="es-CO"/>
              </w:rPr>
            </w:pPr>
            <w:r w:rsidRPr="006D0D6E">
              <w:rPr>
                <w:rFonts w:asciiTheme="majorHAnsi" w:eastAsia="Times New Roman" w:hAnsiTheme="majorHAnsi"/>
                <w:b/>
                <w:bCs/>
                <w:color w:val="000000"/>
                <w:sz w:val="12"/>
                <w:szCs w:val="14"/>
                <w:lang w:eastAsia="es-CO"/>
              </w:rPr>
              <w:t>943.766.260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color w:val="000000"/>
                <w:sz w:val="12"/>
                <w:szCs w:val="14"/>
                <w:lang w:eastAsia="es-CO"/>
              </w:rPr>
            </w:pPr>
            <w:r w:rsidRPr="006D0D6E">
              <w:rPr>
                <w:rFonts w:asciiTheme="majorHAnsi" w:eastAsia="Times New Roman" w:hAnsiTheme="majorHAnsi"/>
                <w:b/>
                <w:bCs/>
                <w:color w:val="000000"/>
                <w:sz w:val="12"/>
                <w:szCs w:val="14"/>
                <w:lang w:eastAsia="es-CO"/>
              </w:rPr>
              <w:t>943.766.260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color w:val="000000"/>
                <w:sz w:val="12"/>
                <w:szCs w:val="14"/>
                <w:lang w:eastAsia="es-CO"/>
              </w:rPr>
            </w:pPr>
            <w:r w:rsidRPr="006D0D6E">
              <w:rPr>
                <w:rFonts w:asciiTheme="majorHAnsi" w:eastAsia="Times New Roman" w:hAnsiTheme="majorHAnsi"/>
                <w:b/>
                <w:bCs/>
                <w:color w:val="000000"/>
                <w:sz w:val="12"/>
                <w:szCs w:val="14"/>
                <w:lang w:eastAsia="es-CO"/>
              </w:rPr>
              <w:t>943.766.260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color w:val="000000"/>
                <w:sz w:val="12"/>
                <w:szCs w:val="14"/>
                <w:lang w:eastAsia="es-CO"/>
              </w:rPr>
            </w:pPr>
            <w:r w:rsidRPr="006D0D6E">
              <w:rPr>
                <w:rFonts w:asciiTheme="majorHAnsi" w:eastAsia="Times New Roman" w:hAnsiTheme="majorHAnsi"/>
                <w:b/>
                <w:bCs/>
                <w:color w:val="000000"/>
                <w:sz w:val="12"/>
                <w:szCs w:val="14"/>
                <w:lang w:eastAsia="es-CO"/>
              </w:rPr>
              <w:t>943.766.260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color w:val="000000"/>
                <w:sz w:val="12"/>
                <w:szCs w:val="14"/>
                <w:lang w:eastAsia="es-CO"/>
              </w:rPr>
            </w:pPr>
            <w:r w:rsidRPr="006D0D6E">
              <w:rPr>
                <w:rFonts w:asciiTheme="majorHAnsi" w:eastAsia="Times New Roman" w:hAnsiTheme="majorHAnsi"/>
                <w:b/>
                <w:bCs/>
                <w:color w:val="000000"/>
                <w:sz w:val="12"/>
                <w:szCs w:val="14"/>
                <w:lang w:eastAsia="es-CO"/>
              </w:rPr>
              <w:t>943.766.260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color w:val="000000"/>
                <w:sz w:val="12"/>
                <w:szCs w:val="14"/>
                <w:lang w:eastAsia="es-CO"/>
              </w:rPr>
            </w:pPr>
            <w:r w:rsidRPr="006D0D6E">
              <w:rPr>
                <w:rFonts w:asciiTheme="majorHAnsi" w:eastAsia="Times New Roman" w:hAnsiTheme="majorHAnsi"/>
                <w:b/>
                <w:bCs/>
                <w:color w:val="000000"/>
                <w:sz w:val="12"/>
                <w:szCs w:val="14"/>
                <w:lang w:eastAsia="es-CO"/>
              </w:rPr>
              <w:t>943.766.260</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color w:val="000000"/>
                <w:sz w:val="12"/>
                <w:szCs w:val="14"/>
                <w:lang w:eastAsia="es-CO"/>
              </w:rPr>
            </w:pPr>
            <w:r w:rsidRPr="006D0D6E">
              <w:rPr>
                <w:rFonts w:asciiTheme="majorHAnsi" w:eastAsia="Times New Roman" w:hAnsiTheme="majorHAnsi"/>
                <w:b/>
                <w:bCs/>
                <w:color w:val="000000"/>
                <w:sz w:val="12"/>
                <w:szCs w:val="14"/>
                <w:lang w:eastAsia="es-CO"/>
              </w:rPr>
              <w:t>943.766.260</w:t>
            </w:r>
          </w:p>
        </w:tc>
      </w:tr>
      <w:tr w:rsidR="006D0D6E" w:rsidRPr="006D0D6E" w:rsidTr="00635034">
        <w:trPr>
          <w:trHeight w:val="20"/>
        </w:trPr>
        <w:tc>
          <w:tcPr>
            <w:tcW w:w="20161" w:type="dxa"/>
            <w:gridSpan w:val="21"/>
            <w:tcBorders>
              <w:top w:val="single" w:sz="4" w:space="0" w:color="auto"/>
              <w:left w:val="nil"/>
              <w:bottom w:val="nil"/>
              <w:right w:val="nil"/>
            </w:tcBorders>
            <w:shd w:val="clear" w:color="000000" w:fill="FFFFFF"/>
            <w:noWrap/>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Se considera un periodo de 5 años en los que no habrá ganancias en los servicios Ecosistémicos por compensación forestal, los cuales incluyen un primer año durante la plantación y cuatro años más que tardan los individuos arboreso en alcanzar un DAP capaz de proveer al ambiente dicho0s servicios según Marwin Melga, 2006.</w:t>
            </w:r>
          </w:p>
        </w:tc>
      </w:tr>
      <w:tr w:rsidR="00635034" w:rsidRPr="006D0D6E" w:rsidTr="00635034">
        <w:trPr>
          <w:trHeight w:val="20"/>
        </w:trPr>
        <w:tc>
          <w:tcPr>
            <w:tcW w:w="1560" w:type="dxa"/>
            <w:tcBorders>
              <w:top w:val="nil"/>
              <w:left w:val="nil"/>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 </w:t>
            </w:r>
          </w:p>
        </w:tc>
        <w:tc>
          <w:tcPr>
            <w:tcW w:w="935" w:type="dxa"/>
            <w:tcBorders>
              <w:top w:val="nil"/>
              <w:left w:val="nil"/>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836" w:type="dxa"/>
            <w:tcBorders>
              <w:top w:val="nil"/>
              <w:left w:val="nil"/>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r>
      <w:tr w:rsidR="00635034" w:rsidRPr="006D0D6E" w:rsidTr="00635034">
        <w:trPr>
          <w:trHeight w:val="20"/>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 </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1</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2</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3</w:t>
            </w:r>
          </w:p>
        </w:tc>
        <w:tc>
          <w:tcPr>
            <w:tcW w:w="8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4</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5</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6</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7</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8</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9</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10</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11</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12</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13</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14</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15</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16</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17</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18</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19</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Año 20</w:t>
            </w:r>
          </w:p>
        </w:tc>
      </w:tr>
      <w:tr w:rsidR="00635034" w:rsidRPr="006D0D6E" w:rsidTr="00635034">
        <w:trPr>
          <w:trHeight w:val="20"/>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BENEFICIOS</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1.501.874.958</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98.937.505</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98.937.505</w:t>
            </w:r>
          </w:p>
        </w:tc>
        <w:tc>
          <w:tcPr>
            <w:tcW w:w="8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98.937.505</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1.434.056.936</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1.434.056.936</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1.434.056.936</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1.434.056.936</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1.434.056.936</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1.434.056.936</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1.434.056.936</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1.434.056.936</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1.434.056.936</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1.434.056.936</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1.434.056.936</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1.434.056.936</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1.434.056.936</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1.434.056.936</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1.434.056.936</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1.434.056.936</w:t>
            </w:r>
          </w:p>
        </w:tc>
      </w:tr>
      <w:tr w:rsidR="00635034" w:rsidRPr="006D0D6E" w:rsidTr="00635034">
        <w:trPr>
          <w:trHeight w:val="20"/>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COSTOS</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1.169.306.174</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1.121.390.222</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1.121.390.222</w:t>
            </w:r>
          </w:p>
        </w:tc>
        <w:tc>
          <w:tcPr>
            <w:tcW w:w="8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943.766.260</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943.766.260</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943.766.260</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943.766.260</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943.766.260</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943.766.260</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943.766.260</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943.766.260</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943.766.260</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943.766.260</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943.766.260</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943.766.260</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943.766.260</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943.766.260</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943.766.260</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943.766.260</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sz w:val="12"/>
                <w:szCs w:val="14"/>
                <w:lang w:eastAsia="es-CO"/>
              </w:rPr>
            </w:pPr>
            <w:r w:rsidRPr="006D0D6E">
              <w:rPr>
                <w:rFonts w:asciiTheme="majorHAnsi" w:eastAsia="Times New Roman" w:hAnsiTheme="majorHAnsi"/>
                <w:sz w:val="12"/>
                <w:szCs w:val="14"/>
                <w:lang w:eastAsia="es-CO"/>
              </w:rPr>
              <w:t>943.766.260</w:t>
            </w:r>
          </w:p>
        </w:tc>
      </w:tr>
      <w:tr w:rsidR="00635034" w:rsidRPr="006D0D6E" w:rsidTr="00635034">
        <w:trPr>
          <w:trHeight w:val="20"/>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FLUJO DE CAJA 1</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332.568.783</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-1.022.452.717</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-1.022.452.717</w:t>
            </w:r>
          </w:p>
        </w:tc>
        <w:tc>
          <w:tcPr>
            <w:tcW w:w="8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-844.828.755</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490.290.676</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490.290.676</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490.290.676</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490.290.676</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490.290.676</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490.290.676</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490.290.676</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490.290.676</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490.290.676</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490.290.676</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490.290.676</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490.290.676</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490.290.676</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490.290.676</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490.290.676</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right"/>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490.290.676</w:t>
            </w:r>
          </w:p>
        </w:tc>
      </w:tr>
      <w:tr w:rsidR="00635034" w:rsidRPr="006D0D6E" w:rsidTr="00635034">
        <w:trPr>
          <w:trHeight w:val="20"/>
        </w:trPr>
        <w:tc>
          <w:tcPr>
            <w:tcW w:w="1560" w:type="dxa"/>
            <w:tcBorders>
              <w:top w:val="single" w:sz="4" w:space="0" w:color="auto"/>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b/>
                <w:bCs/>
                <w:sz w:val="12"/>
                <w:szCs w:val="14"/>
                <w:lang w:eastAsia="es-CO"/>
              </w:rPr>
            </w:pPr>
            <w:r w:rsidRPr="006D0D6E">
              <w:rPr>
                <w:rFonts w:asciiTheme="majorHAnsi" w:eastAsia="Times New Roman" w:hAnsiTheme="majorHAnsi"/>
                <w:b/>
                <w:bCs/>
                <w:sz w:val="12"/>
                <w:szCs w:val="14"/>
                <w:lang w:eastAsia="es-CO"/>
              </w:rPr>
              <w:t> </w:t>
            </w:r>
          </w:p>
        </w:tc>
        <w:tc>
          <w:tcPr>
            <w:tcW w:w="935" w:type="dxa"/>
            <w:tcBorders>
              <w:top w:val="single" w:sz="4" w:space="0" w:color="auto"/>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836" w:type="dxa"/>
            <w:tcBorders>
              <w:top w:val="single" w:sz="4" w:space="0" w:color="auto"/>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single" w:sz="4" w:space="0" w:color="auto"/>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r>
      <w:tr w:rsidR="00635034" w:rsidRPr="006D0D6E" w:rsidTr="00635034">
        <w:trPr>
          <w:trHeight w:val="20"/>
        </w:trPr>
        <w:tc>
          <w:tcPr>
            <w:tcW w:w="1560"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FF0000"/>
                <w:sz w:val="12"/>
                <w:szCs w:val="14"/>
                <w:lang w:eastAsia="es-CO"/>
              </w:rPr>
            </w:pPr>
            <w:r w:rsidRPr="006D0D6E">
              <w:rPr>
                <w:rFonts w:asciiTheme="majorHAnsi" w:eastAsia="Times New Roman" w:hAnsiTheme="majorHAnsi"/>
                <w:color w:val="FF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836"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r>
      <w:tr w:rsidR="00635034" w:rsidRPr="006D0D6E" w:rsidTr="001E5071">
        <w:trPr>
          <w:gridAfter w:val="2"/>
          <w:wAfter w:w="1870" w:type="dxa"/>
          <w:trHeight w:val="20"/>
        </w:trPr>
        <w:tc>
          <w:tcPr>
            <w:tcW w:w="3430"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635034" w:rsidRPr="00635034" w:rsidRDefault="00635034" w:rsidP="00635034">
            <w:pPr>
              <w:spacing w:line="240" w:lineRule="auto"/>
              <w:contextualSpacing w:val="0"/>
              <w:jc w:val="center"/>
              <w:rPr>
                <w:rFonts w:asciiTheme="majorHAnsi" w:eastAsia="Times New Roman" w:hAnsiTheme="majorHAnsi" w:cs="Arial"/>
                <w:b/>
                <w:bCs/>
                <w:sz w:val="12"/>
                <w:szCs w:val="14"/>
                <w:lang w:eastAsia="es-CO"/>
              </w:rPr>
            </w:pPr>
            <w:r w:rsidRPr="006D0D6E">
              <w:rPr>
                <w:rFonts w:asciiTheme="majorHAnsi" w:eastAsia="Times New Roman" w:hAnsiTheme="majorHAnsi" w:cs="Arial"/>
                <w:b/>
                <w:bCs/>
                <w:sz w:val="12"/>
                <w:szCs w:val="14"/>
                <w:lang w:eastAsia="es-CO"/>
              </w:rPr>
              <w:t xml:space="preserve">INDICADORES </w:t>
            </w:r>
            <w:r>
              <w:rPr>
                <w:rFonts w:asciiTheme="majorHAnsi" w:eastAsia="Times New Roman" w:hAnsiTheme="majorHAnsi" w:cs="Arial"/>
                <w:b/>
                <w:bCs/>
                <w:sz w:val="12"/>
                <w:szCs w:val="14"/>
                <w:lang w:eastAsia="es-CO"/>
              </w:rPr>
              <w:t>DE RETANBILIDAD SOCIAL</w:t>
            </w:r>
          </w:p>
        </w:tc>
        <w:tc>
          <w:tcPr>
            <w:tcW w:w="935" w:type="dxa"/>
            <w:tcBorders>
              <w:top w:val="nil"/>
              <w:left w:val="nil"/>
              <w:bottom w:val="nil"/>
              <w:right w:val="nil"/>
            </w:tcBorders>
            <w:shd w:val="clear" w:color="000000" w:fill="FFFFFF"/>
            <w:noWrap/>
            <w:vAlign w:val="bottom"/>
            <w:hideMark/>
          </w:tcPr>
          <w:p w:rsidR="00635034" w:rsidRPr="006D0D6E" w:rsidRDefault="00635034"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836" w:type="dxa"/>
            <w:tcBorders>
              <w:top w:val="nil"/>
              <w:left w:val="nil"/>
              <w:bottom w:val="nil"/>
              <w:right w:val="nil"/>
            </w:tcBorders>
            <w:shd w:val="clear" w:color="000000" w:fill="FFFFFF"/>
            <w:noWrap/>
            <w:vAlign w:val="bottom"/>
            <w:hideMark/>
          </w:tcPr>
          <w:p w:rsidR="00635034" w:rsidRPr="006D0D6E" w:rsidRDefault="00635034"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35034" w:rsidRPr="006D0D6E" w:rsidRDefault="00635034"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35034" w:rsidRPr="006D0D6E" w:rsidRDefault="00635034"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35034" w:rsidRPr="006D0D6E" w:rsidRDefault="00635034"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35034" w:rsidRPr="006D0D6E" w:rsidRDefault="00635034"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35034" w:rsidRPr="006D0D6E" w:rsidRDefault="00635034"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35034" w:rsidRPr="006D0D6E" w:rsidRDefault="00635034"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35034" w:rsidRPr="006D0D6E" w:rsidRDefault="00635034"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35034" w:rsidRPr="006D0D6E" w:rsidRDefault="00635034"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35034" w:rsidRPr="006D0D6E" w:rsidRDefault="00635034"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35034" w:rsidRPr="006D0D6E" w:rsidRDefault="00635034"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35034" w:rsidRPr="006D0D6E" w:rsidRDefault="00635034"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35034" w:rsidRPr="006D0D6E" w:rsidRDefault="00635034"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35034" w:rsidRPr="006D0D6E" w:rsidRDefault="00635034"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35034" w:rsidRPr="006D0D6E" w:rsidRDefault="00635034"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r>
      <w:tr w:rsidR="00635034" w:rsidRPr="006D0D6E" w:rsidTr="00635034">
        <w:trPr>
          <w:trHeight w:val="20"/>
        </w:trPr>
        <w:tc>
          <w:tcPr>
            <w:tcW w:w="1560" w:type="dxa"/>
            <w:tcBorders>
              <w:top w:val="nil"/>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cs="Arial"/>
                <w:b/>
                <w:bCs/>
                <w:sz w:val="12"/>
                <w:szCs w:val="14"/>
                <w:lang w:eastAsia="es-CO"/>
              </w:rPr>
            </w:pPr>
            <w:r w:rsidRPr="006D0D6E">
              <w:rPr>
                <w:rFonts w:asciiTheme="majorHAnsi" w:eastAsia="Times New Roman" w:hAnsiTheme="majorHAnsi" w:cs="Arial"/>
                <w:b/>
                <w:bCs/>
                <w:sz w:val="12"/>
                <w:szCs w:val="14"/>
                <w:lang w:eastAsia="es-CO"/>
              </w:rPr>
              <w:t>TSD</w:t>
            </w:r>
          </w:p>
        </w:tc>
        <w:tc>
          <w:tcPr>
            <w:tcW w:w="935" w:type="dxa"/>
            <w:tcBorders>
              <w:top w:val="nil"/>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cs="Arial"/>
                <w:b/>
                <w:bCs/>
                <w:sz w:val="12"/>
                <w:szCs w:val="14"/>
                <w:lang w:eastAsia="es-CO"/>
              </w:rPr>
            </w:pPr>
            <w:r w:rsidRPr="006D0D6E">
              <w:rPr>
                <w:rFonts w:asciiTheme="majorHAnsi" w:eastAsia="Times New Roman" w:hAnsiTheme="majorHAnsi" w:cs="Arial"/>
                <w:b/>
                <w:bCs/>
                <w:sz w:val="12"/>
                <w:szCs w:val="14"/>
                <w:lang w:eastAsia="es-CO"/>
              </w:rPr>
              <w:t>VAN</w:t>
            </w:r>
          </w:p>
        </w:tc>
        <w:tc>
          <w:tcPr>
            <w:tcW w:w="935" w:type="dxa"/>
            <w:tcBorders>
              <w:top w:val="nil"/>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cs="Arial"/>
                <w:b/>
                <w:bCs/>
                <w:sz w:val="12"/>
                <w:szCs w:val="14"/>
                <w:lang w:eastAsia="es-CO"/>
              </w:rPr>
            </w:pPr>
            <w:r w:rsidRPr="006D0D6E">
              <w:rPr>
                <w:rFonts w:asciiTheme="majorHAnsi" w:eastAsia="Times New Roman" w:hAnsiTheme="majorHAnsi" w:cs="Arial"/>
                <w:b/>
                <w:bCs/>
                <w:sz w:val="12"/>
                <w:szCs w:val="14"/>
                <w:lang w:eastAsia="es-CO"/>
              </w:rPr>
              <w:t>437.015.343</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836"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r>
      <w:tr w:rsidR="00635034" w:rsidRPr="006D0D6E" w:rsidTr="00635034">
        <w:trPr>
          <w:trHeight w:val="20"/>
        </w:trPr>
        <w:tc>
          <w:tcPr>
            <w:tcW w:w="1560" w:type="dxa"/>
            <w:tcBorders>
              <w:top w:val="nil"/>
              <w:left w:val="single" w:sz="4" w:space="0" w:color="auto"/>
              <w:bottom w:val="single" w:sz="4" w:space="0" w:color="auto"/>
              <w:right w:val="nil"/>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cs="Arial"/>
                <w:b/>
                <w:bCs/>
                <w:sz w:val="12"/>
                <w:szCs w:val="14"/>
                <w:lang w:eastAsia="es-CO"/>
              </w:rPr>
            </w:pPr>
            <w:r w:rsidRPr="006D0D6E">
              <w:rPr>
                <w:rFonts w:asciiTheme="majorHAnsi" w:eastAsia="Times New Roman" w:hAnsiTheme="majorHAnsi" w:cs="Arial"/>
                <w:b/>
                <w:bCs/>
                <w:sz w:val="12"/>
                <w:szCs w:val="14"/>
                <w:lang w:eastAsia="es-CO"/>
              </w:rPr>
              <w:t>12%</w:t>
            </w:r>
          </w:p>
        </w:tc>
        <w:tc>
          <w:tcPr>
            <w:tcW w:w="935" w:type="dxa"/>
            <w:tcBorders>
              <w:top w:val="nil"/>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cs="Arial"/>
                <w:b/>
                <w:bCs/>
                <w:color w:val="000000"/>
                <w:sz w:val="12"/>
                <w:szCs w:val="14"/>
                <w:lang w:eastAsia="es-CO"/>
              </w:rPr>
            </w:pPr>
            <w:r w:rsidRPr="006D0D6E">
              <w:rPr>
                <w:rFonts w:asciiTheme="majorHAnsi" w:eastAsia="Times New Roman" w:hAnsiTheme="majorHAnsi" w:cs="Arial"/>
                <w:b/>
                <w:bCs/>
                <w:color w:val="000000"/>
                <w:sz w:val="12"/>
                <w:szCs w:val="14"/>
                <w:lang w:eastAsia="es-CO"/>
              </w:rPr>
              <w:t>VP BENEFICIOS</w:t>
            </w:r>
          </w:p>
        </w:tc>
        <w:tc>
          <w:tcPr>
            <w:tcW w:w="935" w:type="dxa"/>
            <w:tcBorders>
              <w:top w:val="nil"/>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cs="Arial"/>
                <w:b/>
                <w:bCs/>
                <w:sz w:val="12"/>
                <w:szCs w:val="14"/>
                <w:lang w:eastAsia="es-CO"/>
              </w:rPr>
            </w:pPr>
            <w:r w:rsidRPr="006D0D6E">
              <w:rPr>
                <w:rFonts w:asciiTheme="majorHAnsi" w:eastAsia="Times New Roman" w:hAnsiTheme="majorHAnsi" w:cs="Arial"/>
                <w:b/>
                <w:bCs/>
                <w:sz w:val="12"/>
                <w:szCs w:val="14"/>
                <w:lang w:eastAsia="es-CO"/>
              </w:rPr>
              <w:t>8.858.086.753</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836"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r>
      <w:tr w:rsidR="00635034" w:rsidRPr="006D0D6E" w:rsidTr="00635034">
        <w:trPr>
          <w:trHeight w:val="20"/>
        </w:trPr>
        <w:tc>
          <w:tcPr>
            <w:tcW w:w="1560" w:type="dxa"/>
            <w:tcBorders>
              <w:top w:val="nil"/>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s="Arial"/>
                <w:color w:val="000000"/>
                <w:sz w:val="12"/>
                <w:szCs w:val="14"/>
                <w:lang w:eastAsia="es-CO"/>
              </w:rPr>
            </w:pPr>
            <w:r w:rsidRPr="006D0D6E">
              <w:rPr>
                <w:rFonts w:asciiTheme="majorHAnsi" w:eastAsia="Times New Roman" w:hAnsiTheme="majorHAnsi" w:cs="Arial"/>
                <w:color w:val="000000"/>
                <w:sz w:val="12"/>
                <w:szCs w:val="14"/>
                <w:lang w:eastAsia="es-CO"/>
              </w:rPr>
              <w:t> </w:t>
            </w:r>
          </w:p>
        </w:tc>
        <w:tc>
          <w:tcPr>
            <w:tcW w:w="935" w:type="dxa"/>
            <w:tcBorders>
              <w:top w:val="nil"/>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cs="Arial"/>
                <w:b/>
                <w:bCs/>
                <w:color w:val="000000"/>
                <w:sz w:val="12"/>
                <w:szCs w:val="14"/>
                <w:lang w:eastAsia="es-CO"/>
              </w:rPr>
            </w:pPr>
            <w:r w:rsidRPr="006D0D6E">
              <w:rPr>
                <w:rFonts w:asciiTheme="majorHAnsi" w:eastAsia="Times New Roman" w:hAnsiTheme="majorHAnsi" w:cs="Arial"/>
                <w:b/>
                <w:bCs/>
                <w:color w:val="000000"/>
                <w:sz w:val="12"/>
                <w:szCs w:val="14"/>
                <w:lang w:eastAsia="es-CO"/>
              </w:rPr>
              <w:t xml:space="preserve">VP COSTOS </w:t>
            </w:r>
          </w:p>
        </w:tc>
        <w:tc>
          <w:tcPr>
            <w:tcW w:w="935" w:type="dxa"/>
            <w:tcBorders>
              <w:top w:val="nil"/>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cs="Arial"/>
                <w:b/>
                <w:bCs/>
                <w:sz w:val="12"/>
                <w:szCs w:val="14"/>
                <w:lang w:eastAsia="es-CO"/>
              </w:rPr>
            </w:pPr>
            <w:r w:rsidRPr="006D0D6E">
              <w:rPr>
                <w:rFonts w:asciiTheme="majorHAnsi" w:eastAsia="Times New Roman" w:hAnsiTheme="majorHAnsi" w:cs="Arial"/>
                <w:b/>
                <w:bCs/>
                <w:sz w:val="12"/>
                <w:szCs w:val="14"/>
                <w:lang w:eastAsia="es-CO"/>
              </w:rPr>
              <w:t>8.421.071.410</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836"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r>
      <w:tr w:rsidR="00635034" w:rsidRPr="006D0D6E" w:rsidTr="00635034">
        <w:trPr>
          <w:trHeight w:val="20"/>
        </w:trPr>
        <w:tc>
          <w:tcPr>
            <w:tcW w:w="1560" w:type="dxa"/>
            <w:tcBorders>
              <w:top w:val="nil"/>
              <w:left w:val="single" w:sz="4" w:space="0" w:color="auto"/>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s="Arial"/>
                <w:color w:val="000000"/>
                <w:sz w:val="12"/>
                <w:szCs w:val="14"/>
                <w:lang w:eastAsia="es-CO"/>
              </w:rPr>
            </w:pPr>
            <w:r w:rsidRPr="006D0D6E">
              <w:rPr>
                <w:rFonts w:asciiTheme="majorHAnsi" w:eastAsia="Times New Roman" w:hAnsiTheme="majorHAnsi" w:cs="Arial"/>
                <w:color w:val="000000"/>
                <w:sz w:val="12"/>
                <w:szCs w:val="14"/>
                <w:lang w:eastAsia="es-CO"/>
              </w:rPr>
              <w:t> </w:t>
            </w:r>
          </w:p>
        </w:tc>
        <w:tc>
          <w:tcPr>
            <w:tcW w:w="935" w:type="dxa"/>
            <w:tcBorders>
              <w:top w:val="nil"/>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cs="Arial"/>
                <w:b/>
                <w:bCs/>
                <w:color w:val="000000"/>
                <w:sz w:val="12"/>
                <w:szCs w:val="14"/>
                <w:lang w:eastAsia="es-CO"/>
              </w:rPr>
            </w:pPr>
            <w:r w:rsidRPr="006D0D6E">
              <w:rPr>
                <w:rFonts w:asciiTheme="majorHAnsi" w:eastAsia="Times New Roman" w:hAnsiTheme="majorHAnsi" w:cs="Arial"/>
                <w:b/>
                <w:bCs/>
                <w:color w:val="000000"/>
                <w:sz w:val="12"/>
                <w:szCs w:val="14"/>
                <w:lang w:eastAsia="es-CO"/>
              </w:rPr>
              <w:t>RBC</w:t>
            </w:r>
          </w:p>
        </w:tc>
        <w:tc>
          <w:tcPr>
            <w:tcW w:w="935" w:type="dxa"/>
            <w:tcBorders>
              <w:top w:val="nil"/>
              <w:left w:val="nil"/>
              <w:bottom w:val="single" w:sz="4" w:space="0" w:color="auto"/>
              <w:right w:val="single" w:sz="4" w:space="0" w:color="auto"/>
            </w:tcBorders>
            <w:shd w:val="clear" w:color="000000" w:fill="FFFFFF"/>
            <w:noWrap/>
            <w:vAlign w:val="bottom"/>
            <w:hideMark/>
          </w:tcPr>
          <w:p w:rsidR="006D0D6E" w:rsidRPr="006D0D6E" w:rsidRDefault="006D0D6E" w:rsidP="00A7454D">
            <w:pPr>
              <w:spacing w:line="240" w:lineRule="auto"/>
              <w:contextualSpacing w:val="0"/>
              <w:jc w:val="center"/>
              <w:rPr>
                <w:rFonts w:asciiTheme="majorHAnsi" w:eastAsia="Times New Roman" w:hAnsiTheme="majorHAnsi" w:cs="Arial"/>
                <w:b/>
                <w:bCs/>
                <w:color w:val="000000"/>
                <w:sz w:val="12"/>
                <w:szCs w:val="14"/>
                <w:lang w:eastAsia="es-CO"/>
              </w:rPr>
            </w:pPr>
            <w:r w:rsidRPr="006D0D6E">
              <w:rPr>
                <w:rFonts w:asciiTheme="majorHAnsi" w:eastAsia="Times New Roman" w:hAnsiTheme="majorHAnsi" w:cs="Arial"/>
                <w:b/>
                <w:bCs/>
                <w:color w:val="000000"/>
                <w:sz w:val="12"/>
                <w:szCs w:val="14"/>
                <w:lang w:eastAsia="es-CO"/>
              </w:rPr>
              <w:t>1,05</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836"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c>
          <w:tcPr>
            <w:tcW w:w="935" w:type="dxa"/>
            <w:tcBorders>
              <w:top w:val="nil"/>
              <w:left w:val="nil"/>
              <w:bottom w:val="nil"/>
              <w:right w:val="nil"/>
            </w:tcBorders>
            <w:shd w:val="clear" w:color="000000" w:fill="FFFFFF"/>
            <w:noWrap/>
            <w:vAlign w:val="bottom"/>
            <w:hideMark/>
          </w:tcPr>
          <w:p w:rsidR="006D0D6E" w:rsidRPr="006D0D6E" w:rsidRDefault="006D0D6E" w:rsidP="00A7454D">
            <w:pPr>
              <w:spacing w:line="240" w:lineRule="auto"/>
              <w:contextualSpacing w:val="0"/>
              <w:jc w:val="left"/>
              <w:rPr>
                <w:rFonts w:asciiTheme="majorHAnsi" w:eastAsia="Times New Roman" w:hAnsiTheme="majorHAnsi"/>
                <w:color w:val="000000"/>
                <w:sz w:val="12"/>
                <w:szCs w:val="14"/>
                <w:lang w:eastAsia="es-CO"/>
              </w:rPr>
            </w:pPr>
            <w:r w:rsidRPr="006D0D6E">
              <w:rPr>
                <w:rFonts w:asciiTheme="majorHAnsi" w:eastAsia="Times New Roman" w:hAnsiTheme="majorHAnsi"/>
                <w:color w:val="000000"/>
                <w:sz w:val="12"/>
                <w:szCs w:val="14"/>
                <w:lang w:eastAsia="es-CO"/>
              </w:rPr>
              <w:t> </w:t>
            </w:r>
          </w:p>
        </w:tc>
      </w:tr>
    </w:tbl>
    <w:p w:rsidR="00635034" w:rsidRDefault="00635034" w:rsidP="00AA0A2C">
      <w:pPr>
        <w:pStyle w:val="Prrafodelista"/>
        <w:tabs>
          <w:tab w:val="left" w:pos="0"/>
          <w:tab w:val="left" w:pos="851"/>
        </w:tabs>
        <w:ind w:left="0"/>
        <w:rPr>
          <w:rFonts w:asciiTheme="majorHAnsi" w:hAnsiTheme="majorHAnsi" w:cs="Arial"/>
        </w:rPr>
      </w:pPr>
    </w:p>
    <w:p w:rsidR="00635034" w:rsidRPr="00635034" w:rsidRDefault="00635034" w:rsidP="00635034">
      <w:pPr>
        <w:pStyle w:val="Notas"/>
        <w:rPr>
          <w:rFonts w:asciiTheme="majorHAnsi" w:hAnsiTheme="majorHAnsi"/>
        </w:rPr>
        <w:sectPr w:rsidR="00635034" w:rsidRPr="00635034" w:rsidSect="004B49C5">
          <w:headerReference w:type="first" r:id="rId23"/>
          <w:footerReference w:type="first" r:id="rId24"/>
          <w:pgSz w:w="24477" w:h="15842" w:orient="landscape" w:code="17"/>
          <w:pgMar w:top="1701" w:right="1701" w:bottom="1701" w:left="2268" w:header="709" w:footer="709" w:gutter="0"/>
          <w:cols w:space="708"/>
          <w:titlePg/>
          <w:docGrid w:linePitch="360"/>
        </w:sectPr>
      </w:pPr>
      <w:r w:rsidRPr="00AA0A2C">
        <w:rPr>
          <w:rFonts w:asciiTheme="majorHAnsi" w:hAnsiTheme="majorHAnsi"/>
        </w:rPr>
        <w:t>Fuente: Autopista Rio Magdalena S.A.S., 2016.</w:t>
      </w:r>
    </w:p>
    <w:p w:rsidR="004B49C5" w:rsidRPr="00AA0A2C" w:rsidRDefault="004B49C5" w:rsidP="00AA0A2C">
      <w:pPr>
        <w:pStyle w:val="Prrafodelista"/>
        <w:tabs>
          <w:tab w:val="left" w:pos="0"/>
          <w:tab w:val="left" w:pos="851"/>
        </w:tabs>
        <w:ind w:left="0"/>
        <w:rPr>
          <w:rFonts w:asciiTheme="majorHAnsi" w:hAnsiTheme="majorHAnsi" w:cs="Arial"/>
        </w:rPr>
      </w:pPr>
    </w:p>
    <w:p w:rsidR="00AA0A2C" w:rsidRDefault="00AA0A2C" w:rsidP="00AA0A2C">
      <w:pPr>
        <w:rPr>
          <w:rFonts w:asciiTheme="majorHAnsi" w:hAnsiTheme="majorHAnsi"/>
        </w:rPr>
      </w:pPr>
    </w:p>
    <w:p w:rsidR="00C77CA9" w:rsidRPr="00F6067E" w:rsidRDefault="00C77CA9" w:rsidP="00C77CA9">
      <w:pPr>
        <w:pStyle w:val="Ttulo2"/>
      </w:pPr>
      <w:r w:rsidRPr="00F6067E">
        <w:t>ANÁLISIS DE SENSIBILIDAD</w:t>
      </w:r>
    </w:p>
    <w:p w:rsidR="00C77CA9" w:rsidRDefault="00C77CA9" w:rsidP="00C77CA9">
      <w:pPr>
        <w:rPr>
          <w:rFonts w:ascii="Arial Narrow" w:hAnsi="Arial Narrow"/>
          <w:b/>
        </w:rPr>
      </w:pPr>
    </w:p>
    <w:p w:rsidR="00C77CA9" w:rsidRDefault="00C77CA9" w:rsidP="00C77CA9">
      <w:pPr>
        <w:pStyle w:val="Tablas"/>
      </w:pPr>
      <w:r>
        <w:t xml:space="preserve">Tabla </w:t>
      </w:r>
      <w:r w:rsidR="006D0D6E">
        <w:fldChar w:fldCharType="begin"/>
      </w:r>
      <w:r w:rsidR="006D0D6E">
        <w:instrText xml:space="preserve"> STYLEREF 1 \s </w:instrText>
      </w:r>
      <w:r w:rsidR="006D0D6E">
        <w:fldChar w:fldCharType="separate"/>
      </w:r>
      <w:r w:rsidR="006D0D6E">
        <w:rPr>
          <w:noProof/>
        </w:rPr>
        <w:t>10</w:t>
      </w:r>
      <w:r w:rsidR="006D0D6E">
        <w:fldChar w:fldCharType="end"/>
      </w:r>
      <w:r w:rsidR="006D0D6E">
        <w:t>.</w:t>
      </w:r>
      <w:r w:rsidR="006D0D6E">
        <w:fldChar w:fldCharType="begin"/>
      </w:r>
      <w:r w:rsidR="006D0D6E">
        <w:instrText xml:space="preserve"> SEQ Tabla \* ARABIC \s 1 </w:instrText>
      </w:r>
      <w:r w:rsidR="006D0D6E">
        <w:fldChar w:fldCharType="separate"/>
      </w:r>
      <w:r w:rsidR="006D0D6E">
        <w:rPr>
          <w:noProof/>
        </w:rPr>
        <w:t>29</w:t>
      </w:r>
      <w:r w:rsidR="006D0D6E">
        <w:fldChar w:fldCharType="end"/>
      </w:r>
      <w:r>
        <w:t xml:space="preserve"> </w:t>
      </w:r>
      <w:r w:rsidRPr="00F6067E">
        <w:t>Análisis de Sensibilidad</w:t>
      </w:r>
    </w:p>
    <w:tbl>
      <w:tblPr>
        <w:tblStyle w:val="Gminis"/>
        <w:tblW w:w="5000" w:type="pct"/>
        <w:tblLayout w:type="fixed"/>
        <w:tblLook w:val="04A0" w:firstRow="1" w:lastRow="0" w:firstColumn="1" w:lastColumn="0" w:noHBand="0" w:noVBand="1"/>
      </w:tblPr>
      <w:tblGrid>
        <w:gridCol w:w="2127"/>
        <w:gridCol w:w="1648"/>
        <w:gridCol w:w="1755"/>
        <w:gridCol w:w="1580"/>
        <w:gridCol w:w="1161"/>
      </w:tblGrid>
      <w:tr w:rsidR="006D0D6E" w:rsidRPr="00A243FB" w:rsidTr="006D0D6E">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gridSpan w:val="5"/>
            <w:noWrap/>
            <w:vAlign w:val="center"/>
            <w:hideMark/>
          </w:tcPr>
          <w:p w:rsidR="006D0D6E" w:rsidRPr="00A243FB" w:rsidRDefault="00A243FB" w:rsidP="006D0D6E">
            <w:pPr>
              <w:spacing w:line="240" w:lineRule="auto"/>
              <w:contextualSpacing w:val="0"/>
              <w:jc w:val="center"/>
              <w:rPr>
                <w:rFonts w:ascii="Arial" w:eastAsia="Times New Roman" w:hAnsi="Arial" w:cs="Arial"/>
                <w:bCs/>
                <w:color w:val="000000"/>
                <w:sz w:val="17"/>
                <w:szCs w:val="17"/>
                <w:lang w:eastAsia="es-CO"/>
              </w:rPr>
            </w:pPr>
            <w:r w:rsidRPr="00A243FB">
              <w:rPr>
                <w:rFonts w:ascii="Arial" w:eastAsia="Times New Roman" w:hAnsi="Arial" w:cs="Arial"/>
                <w:bCs/>
                <w:color w:val="000000"/>
                <w:sz w:val="17"/>
                <w:szCs w:val="17"/>
                <w:lang w:eastAsia="es-CO"/>
              </w:rPr>
              <w:t>ANÁLISIS DE SENSIBILIDAD</w:t>
            </w:r>
          </w:p>
        </w:tc>
      </w:tr>
      <w:tr w:rsidR="006D0D6E" w:rsidRPr="00A243FB" w:rsidTr="006D0D6E">
        <w:trPr>
          <w:trHeight w:val="20"/>
        </w:trPr>
        <w:tc>
          <w:tcPr>
            <w:cnfStyle w:val="001000000000" w:firstRow="0" w:lastRow="0" w:firstColumn="1" w:lastColumn="0" w:oddVBand="0" w:evenVBand="0" w:oddHBand="0" w:evenHBand="0" w:firstRowFirstColumn="0" w:firstRowLastColumn="0" w:lastRowFirstColumn="0" w:lastRowLastColumn="0"/>
            <w:tcW w:w="1286" w:type="pct"/>
            <w:noWrap/>
            <w:vAlign w:val="center"/>
            <w:hideMark/>
          </w:tcPr>
          <w:p w:rsidR="006D0D6E" w:rsidRPr="00A243FB" w:rsidRDefault="006D0D6E" w:rsidP="006D0D6E">
            <w:pPr>
              <w:spacing w:line="240" w:lineRule="auto"/>
              <w:contextualSpacing w:val="0"/>
              <w:jc w:val="center"/>
              <w:rPr>
                <w:rFonts w:ascii="Arial" w:eastAsia="Times New Roman" w:hAnsi="Arial" w:cs="Arial"/>
                <w:b/>
                <w:bCs/>
                <w:color w:val="000000"/>
                <w:sz w:val="17"/>
                <w:szCs w:val="17"/>
                <w:lang w:eastAsia="es-CO"/>
              </w:rPr>
            </w:pPr>
            <w:r w:rsidRPr="00A243FB">
              <w:rPr>
                <w:rFonts w:ascii="Arial" w:eastAsia="Times New Roman" w:hAnsi="Arial" w:cs="Arial"/>
                <w:b/>
                <w:bCs/>
                <w:color w:val="000000"/>
                <w:sz w:val="17"/>
                <w:szCs w:val="17"/>
                <w:lang w:eastAsia="es-CO"/>
              </w:rPr>
              <w:t>Análisis de Sensibilidad</w:t>
            </w:r>
          </w:p>
        </w:tc>
        <w:tc>
          <w:tcPr>
            <w:tcW w:w="996"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7"/>
                <w:szCs w:val="17"/>
                <w:lang w:eastAsia="es-CO"/>
              </w:rPr>
            </w:pPr>
            <w:r w:rsidRPr="00A243FB">
              <w:rPr>
                <w:rFonts w:ascii="Arial" w:eastAsia="Times New Roman" w:hAnsi="Arial" w:cs="Arial"/>
                <w:b/>
                <w:bCs/>
                <w:color w:val="000000"/>
                <w:sz w:val="17"/>
                <w:szCs w:val="17"/>
                <w:lang w:eastAsia="es-CO"/>
              </w:rPr>
              <w:t>Valor presente Costos</w:t>
            </w:r>
          </w:p>
        </w:tc>
        <w:tc>
          <w:tcPr>
            <w:tcW w:w="1061"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7"/>
                <w:szCs w:val="17"/>
                <w:lang w:eastAsia="es-CO"/>
              </w:rPr>
            </w:pPr>
            <w:r w:rsidRPr="00A243FB">
              <w:rPr>
                <w:rFonts w:ascii="Arial" w:eastAsia="Times New Roman" w:hAnsi="Arial" w:cs="Arial"/>
                <w:b/>
                <w:bCs/>
                <w:color w:val="000000"/>
                <w:sz w:val="17"/>
                <w:szCs w:val="17"/>
                <w:lang w:eastAsia="es-CO"/>
              </w:rPr>
              <w:t>Valor Presente Beneficios</w:t>
            </w:r>
          </w:p>
        </w:tc>
        <w:tc>
          <w:tcPr>
            <w:tcW w:w="955"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7"/>
                <w:szCs w:val="17"/>
                <w:lang w:eastAsia="es-CO"/>
              </w:rPr>
            </w:pPr>
            <w:r w:rsidRPr="00A243FB">
              <w:rPr>
                <w:rFonts w:ascii="Arial" w:eastAsia="Times New Roman" w:hAnsi="Arial" w:cs="Arial"/>
                <w:b/>
                <w:bCs/>
                <w:color w:val="000000"/>
                <w:sz w:val="17"/>
                <w:szCs w:val="17"/>
                <w:lang w:eastAsia="es-CO"/>
              </w:rPr>
              <w:t>Flujo de caja</w:t>
            </w:r>
          </w:p>
        </w:tc>
        <w:tc>
          <w:tcPr>
            <w:tcW w:w="702"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7"/>
                <w:szCs w:val="17"/>
                <w:lang w:eastAsia="es-CO"/>
              </w:rPr>
            </w:pPr>
            <w:r w:rsidRPr="00A243FB">
              <w:rPr>
                <w:rFonts w:ascii="Arial" w:eastAsia="Times New Roman" w:hAnsi="Arial" w:cs="Arial"/>
                <w:b/>
                <w:bCs/>
                <w:color w:val="000000"/>
                <w:sz w:val="17"/>
                <w:szCs w:val="17"/>
                <w:lang w:eastAsia="es-CO"/>
              </w:rPr>
              <w:t>Relación B/C</w:t>
            </w:r>
          </w:p>
        </w:tc>
      </w:tr>
      <w:tr w:rsidR="006D0D6E" w:rsidRPr="00A243FB" w:rsidTr="006D0D6E">
        <w:trPr>
          <w:trHeight w:val="20"/>
        </w:trPr>
        <w:tc>
          <w:tcPr>
            <w:cnfStyle w:val="001000000000" w:firstRow="0" w:lastRow="0" w:firstColumn="1" w:lastColumn="0" w:oddVBand="0" w:evenVBand="0" w:oddHBand="0" w:evenHBand="0" w:firstRowFirstColumn="0" w:firstRowLastColumn="0" w:lastRowFirstColumn="0" w:lastRowLastColumn="0"/>
            <w:tcW w:w="1286" w:type="pct"/>
            <w:noWrap/>
            <w:vAlign w:val="center"/>
            <w:hideMark/>
          </w:tcPr>
          <w:p w:rsidR="006D0D6E" w:rsidRPr="00A243FB" w:rsidRDefault="006D0D6E" w:rsidP="006D0D6E">
            <w:pPr>
              <w:spacing w:line="240" w:lineRule="auto"/>
              <w:contextualSpacing w:val="0"/>
              <w:jc w:val="center"/>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Beneficios/Costos</w:t>
            </w:r>
          </w:p>
        </w:tc>
        <w:tc>
          <w:tcPr>
            <w:tcW w:w="996"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8.421.071.410</w:t>
            </w:r>
          </w:p>
        </w:tc>
        <w:tc>
          <w:tcPr>
            <w:tcW w:w="1061"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8.858.086.753</w:t>
            </w:r>
          </w:p>
        </w:tc>
        <w:tc>
          <w:tcPr>
            <w:tcW w:w="955"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437.015.343</w:t>
            </w:r>
          </w:p>
        </w:tc>
        <w:tc>
          <w:tcPr>
            <w:tcW w:w="702"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1,05</w:t>
            </w:r>
          </w:p>
        </w:tc>
      </w:tr>
      <w:tr w:rsidR="006D0D6E" w:rsidRPr="00A243FB" w:rsidTr="006D0D6E">
        <w:trPr>
          <w:trHeight w:val="20"/>
        </w:trPr>
        <w:tc>
          <w:tcPr>
            <w:cnfStyle w:val="001000000000" w:firstRow="0" w:lastRow="0" w:firstColumn="1" w:lastColumn="0" w:oddVBand="0" w:evenVBand="0" w:oddHBand="0" w:evenHBand="0" w:firstRowFirstColumn="0" w:firstRowLastColumn="0" w:lastRowFirstColumn="0" w:lastRowLastColumn="0"/>
            <w:tcW w:w="1286" w:type="pct"/>
            <w:noWrap/>
            <w:vAlign w:val="center"/>
            <w:hideMark/>
          </w:tcPr>
          <w:p w:rsidR="006D0D6E" w:rsidRPr="00A243FB" w:rsidRDefault="006D0D6E" w:rsidP="006D0D6E">
            <w:pPr>
              <w:spacing w:line="240" w:lineRule="auto"/>
              <w:contextualSpacing w:val="0"/>
              <w:jc w:val="center"/>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Beneficios/Costos +10%</w:t>
            </w:r>
          </w:p>
        </w:tc>
        <w:tc>
          <w:tcPr>
            <w:tcW w:w="996"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9.263.178.551</w:t>
            </w:r>
          </w:p>
        </w:tc>
        <w:tc>
          <w:tcPr>
            <w:tcW w:w="1061"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8.858.086.753</w:t>
            </w:r>
          </w:p>
        </w:tc>
        <w:tc>
          <w:tcPr>
            <w:tcW w:w="955"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-405.091.798</w:t>
            </w:r>
          </w:p>
        </w:tc>
        <w:tc>
          <w:tcPr>
            <w:tcW w:w="702"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0,96</w:t>
            </w:r>
          </w:p>
        </w:tc>
      </w:tr>
      <w:tr w:rsidR="006D0D6E" w:rsidRPr="00A243FB" w:rsidTr="006D0D6E">
        <w:trPr>
          <w:trHeight w:val="20"/>
        </w:trPr>
        <w:tc>
          <w:tcPr>
            <w:cnfStyle w:val="001000000000" w:firstRow="0" w:lastRow="0" w:firstColumn="1" w:lastColumn="0" w:oddVBand="0" w:evenVBand="0" w:oddHBand="0" w:evenHBand="0" w:firstRowFirstColumn="0" w:firstRowLastColumn="0" w:lastRowFirstColumn="0" w:lastRowLastColumn="0"/>
            <w:tcW w:w="1286" w:type="pct"/>
            <w:noWrap/>
            <w:vAlign w:val="center"/>
            <w:hideMark/>
          </w:tcPr>
          <w:p w:rsidR="006D0D6E" w:rsidRPr="00A243FB" w:rsidRDefault="006D0D6E" w:rsidP="006D0D6E">
            <w:pPr>
              <w:spacing w:line="240" w:lineRule="auto"/>
              <w:contextualSpacing w:val="0"/>
              <w:jc w:val="center"/>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Beneficios/Costos +20%</w:t>
            </w:r>
          </w:p>
        </w:tc>
        <w:tc>
          <w:tcPr>
            <w:tcW w:w="996"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10.105.285.692</w:t>
            </w:r>
          </w:p>
        </w:tc>
        <w:tc>
          <w:tcPr>
            <w:tcW w:w="1061"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8.858.086.753</w:t>
            </w:r>
          </w:p>
        </w:tc>
        <w:tc>
          <w:tcPr>
            <w:tcW w:w="955"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-1.247.198.939</w:t>
            </w:r>
          </w:p>
        </w:tc>
        <w:tc>
          <w:tcPr>
            <w:tcW w:w="702"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0,88</w:t>
            </w:r>
          </w:p>
        </w:tc>
      </w:tr>
      <w:tr w:rsidR="006D0D6E" w:rsidRPr="00A243FB" w:rsidTr="006D0D6E">
        <w:trPr>
          <w:trHeight w:val="20"/>
        </w:trPr>
        <w:tc>
          <w:tcPr>
            <w:cnfStyle w:val="001000000000" w:firstRow="0" w:lastRow="0" w:firstColumn="1" w:lastColumn="0" w:oddVBand="0" w:evenVBand="0" w:oddHBand="0" w:evenHBand="0" w:firstRowFirstColumn="0" w:firstRowLastColumn="0" w:lastRowFirstColumn="0" w:lastRowLastColumn="0"/>
            <w:tcW w:w="1286" w:type="pct"/>
            <w:noWrap/>
            <w:vAlign w:val="center"/>
            <w:hideMark/>
          </w:tcPr>
          <w:p w:rsidR="006D0D6E" w:rsidRPr="00A243FB" w:rsidRDefault="006D0D6E" w:rsidP="006D0D6E">
            <w:pPr>
              <w:spacing w:line="240" w:lineRule="auto"/>
              <w:contextualSpacing w:val="0"/>
              <w:jc w:val="center"/>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Beneficios -10%/Costos</w:t>
            </w:r>
          </w:p>
        </w:tc>
        <w:tc>
          <w:tcPr>
            <w:tcW w:w="996"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8.421.071.410</w:t>
            </w:r>
          </w:p>
        </w:tc>
        <w:tc>
          <w:tcPr>
            <w:tcW w:w="1061"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7.972.278.078</w:t>
            </w:r>
          </w:p>
        </w:tc>
        <w:tc>
          <w:tcPr>
            <w:tcW w:w="955"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-448.793.332</w:t>
            </w:r>
          </w:p>
        </w:tc>
        <w:tc>
          <w:tcPr>
            <w:tcW w:w="702"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0,95</w:t>
            </w:r>
          </w:p>
        </w:tc>
      </w:tr>
      <w:tr w:rsidR="006D0D6E" w:rsidRPr="00A243FB" w:rsidTr="006D0D6E">
        <w:trPr>
          <w:trHeight w:val="20"/>
        </w:trPr>
        <w:tc>
          <w:tcPr>
            <w:cnfStyle w:val="001000000000" w:firstRow="0" w:lastRow="0" w:firstColumn="1" w:lastColumn="0" w:oddVBand="0" w:evenVBand="0" w:oddHBand="0" w:evenHBand="0" w:firstRowFirstColumn="0" w:firstRowLastColumn="0" w:lastRowFirstColumn="0" w:lastRowLastColumn="0"/>
            <w:tcW w:w="1286" w:type="pct"/>
            <w:noWrap/>
            <w:vAlign w:val="center"/>
            <w:hideMark/>
          </w:tcPr>
          <w:p w:rsidR="006D0D6E" w:rsidRPr="00A243FB" w:rsidRDefault="006D0D6E" w:rsidP="006D0D6E">
            <w:pPr>
              <w:spacing w:line="240" w:lineRule="auto"/>
              <w:contextualSpacing w:val="0"/>
              <w:jc w:val="center"/>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Beneficios -20%/Costos</w:t>
            </w:r>
          </w:p>
        </w:tc>
        <w:tc>
          <w:tcPr>
            <w:tcW w:w="996"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8.421.071.410</w:t>
            </w:r>
          </w:p>
        </w:tc>
        <w:tc>
          <w:tcPr>
            <w:tcW w:w="1061"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7.086.469.402</w:t>
            </w:r>
          </w:p>
        </w:tc>
        <w:tc>
          <w:tcPr>
            <w:tcW w:w="955"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-1.334.602.008</w:t>
            </w:r>
          </w:p>
        </w:tc>
        <w:tc>
          <w:tcPr>
            <w:tcW w:w="702"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0,84</w:t>
            </w:r>
          </w:p>
        </w:tc>
      </w:tr>
      <w:tr w:rsidR="006D0D6E" w:rsidRPr="00A243FB" w:rsidTr="006D0D6E">
        <w:trPr>
          <w:trHeight w:val="20"/>
        </w:trPr>
        <w:tc>
          <w:tcPr>
            <w:cnfStyle w:val="001000000000" w:firstRow="0" w:lastRow="0" w:firstColumn="1" w:lastColumn="0" w:oddVBand="0" w:evenVBand="0" w:oddHBand="0" w:evenHBand="0" w:firstRowFirstColumn="0" w:firstRowLastColumn="0" w:lastRowFirstColumn="0" w:lastRowLastColumn="0"/>
            <w:tcW w:w="1286" w:type="pct"/>
            <w:noWrap/>
            <w:vAlign w:val="center"/>
            <w:hideMark/>
          </w:tcPr>
          <w:p w:rsidR="006D0D6E" w:rsidRPr="00A243FB" w:rsidRDefault="006D0D6E" w:rsidP="006D0D6E">
            <w:pPr>
              <w:spacing w:line="240" w:lineRule="auto"/>
              <w:contextualSpacing w:val="0"/>
              <w:jc w:val="center"/>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 </w:t>
            </w:r>
          </w:p>
        </w:tc>
        <w:tc>
          <w:tcPr>
            <w:tcW w:w="996"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 </w:t>
            </w:r>
          </w:p>
        </w:tc>
        <w:tc>
          <w:tcPr>
            <w:tcW w:w="1061"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 </w:t>
            </w:r>
          </w:p>
        </w:tc>
        <w:tc>
          <w:tcPr>
            <w:tcW w:w="955"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 </w:t>
            </w:r>
          </w:p>
        </w:tc>
        <w:tc>
          <w:tcPr>
            <w:tcW w:w="702"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 </w:t>
            </w:r>
          </w:p>
        </w:tc>
      </w:tr>
      <w:tr w:rsidR="006D0D6E" w:rsidRPr="00A243FB" w:rsidTr="00A243FB">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BFBFBF" w:themeFill="background1" w:themeFillShade="BF"/>
            <w:noWrap/>
            <w:vAlign w:val="center"/>
            <w:hideMark/>
          </w:tcPr>
          <w:p w:rsidR="006D0D6E" w:rsidRPr="00A243FB" w:rsidRDefault="00A243FB" w:rsidP="006D0D6E">
            <w:pPr>
              <w:spacing w:line="240" w:lineRule="auto"/>
              <w:contextualSpacing w:val="0"/>
              <w:jc w:val="center"/>
              <w:rPr>
                <w:rFonts w:ascii="Arial" w:eastAsia="Times New Roman" w:hAnsi="Arial" w:cs="Arial"/>
                <w:b/>
                <w:bCs/>
                <w:color w:val="000000"/>
                <w:sz w:val="17"/>
                <w:szCs w:val="17"/>
                <w:lang w:eastAsia="es-CO"/>
              </w:rPr>
            </w:pPr>
            <w:r w:rsidRPr="00A243FB">
              <w:rPr>
                <w:rFonts w:ascii="Arial" w:eastAsia="Times New Roman" w:hAnsi="Arial" w:cs="Arial"/>
                <w:b/>
                <w:bCs/>
                <w:color w:val="000000"/>
                <w:sz w:val="17"/>
                <w:szCs w:val="17"/>
                <w:lang w:eastAsia="es-CO"/>
              </w:rPr>
              <w:t>ANÁLISIS DE SENSIBILIDAD</w:t>
            </w:r>
          </w:p>
        </w:tc>
      </w:tr>
      <w:tr w:rsidR="006D0D6E" w:rsidRPr="00A243FB" w:rsidTr="006D0D6E">
        <w:trPr>
          <w:trHeight w:val="20"/>
        </w:trPr>
        <w:tc>
          <w:tcPr>
            <w:cnfStyle w:val="001000000000" w:firstRow="0" w:lastRow="0" w:firstColumn="1" w:lastColumn="0" w:oddVBand="0" w:evenVBand="0" w:oddHBand="0" w:evenHBand="0" w:firstRowFirstColumn="0" w:firstRowLastColumn="0" w:lastRowFirstColumn="0" w:lastRowLastColumn="0"/>
            <w:tcW w:w="1286" w:type="pct"/>
            <w:noWrap/>
            <w:vAlign w:val="center"/>
            <w:hideMark/>
          </w:tcPr>
          <w:p w:rsidR="006D0D6E" w:rsidRPr="00A243FB" w:rsidRDefault="006D0D6E" w:rsidP="006D0D6E">
            <w:pPr>
              <w:spacing w:line="240" w:lineRule="auto"/>
              <w:contextualSpacing w:val="0"/>
              <w:jc w:val="center"/>
              <w:rPr>
                <w:rFonts w:ascii="Arial" w:eastAsia="Times New Roman" w:hAnsi="Arial" w:cs="Arial"/>
                <w:b/>
                <w:bCs/>
                <w:color w:val="000000"/>
                <w:sz w:val="17"/>
                <w:szCs w:val="17"/>
                <w:lang w:eastAsia="es-CO"/>
              </w:rPr>
            </w:pPr>
            <w:r w:rsidRPr="00A243FB">
              <w:rPr>
                <w:rFonts w:ascii="Arial" w:eastAsia="Times New Roman" w:hAnsi="Arial" w:cs="Arial"/>
                <w:b/>
                <w:bCs/>
                <w:color w:val="000000"/>
                <w:sz w:val="17"/>
                <w:szCs w:val="17"/>
                <w:lang w:eastAsia="es-CO"/>
              </w:rPr>
              <w:t>Análisis de Sensibilidad</w:t>
            </w:r>
          </w:p>
        </w:tc>
        <w:tc>
          <w:tcPr>
            <w:tcW w:w="996"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7"/>
                <w:szCs w:val="17"/>
                <w:lang w:eastAsia="es-CO"/>
              </w:rPr>
            </w:pPr>
            <w:r w:rsidRPr="00A243FB">
              <w:rPr>
                <w:rFonts w:ascii="Arial" w:eastAsia="Times New Roman" w:hAnsi="Arial" w:cs="Arial"/>
                <w:b/>
                <w:bCs/>
                <w:color w:val="000000"/>
                <w:sz w:val="17"/>
                <w:szCs w:val="17"/>
                <w:lang w:eastAsia="es-CO"/>
              </w:rPr>
              <w:t>Valor presente Costos</w:t>
            </w:r>
          </w:p>
        </w:tc>
        <w:tc>
          <w:tcPr>
            <w:tcW w:w="1061"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7"/>
                <w:szCs w:val="17"/>
                <w:lang w:eastAsia="es-CO"/>
              </w:rPr>
            </w:pPr>
            <w:r w:rsidRPr="00A243FB">
              <w:rPr>
                <w:rFonts w:ascii="Arial" w:eastAsia="Times New Roman" w:hAnsi="Arial" w:cs="Arial"/>
                <w:b/>
                <w:bCs/>
                <w:color w:val="000000"/>
                <w:sz w:val="17"/>
                <w:szCs w:val="17"/>
                <w:lang w:eastAsia="es-CO"/>
              </w:rPr>
              <w:t>Valor Presente Beneficios</w:t>
            </w:r>
          </w:p>
        </w:tc>
        <w:tc>
          <w:tcPr>
            <w:tcW w:w="955"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7"/>
                <w:szCs w:val="17"/>
                <w:lang w:eastAsia="es-CO"/>
              </w:rPr>
            </w:pPr>
            <w:r w:rsidRPr="00A243FB">
              <w:rPr>
                <w:rFonts w:ascii="Arial" w:eastAsia="Times New Roman" w:hAnsi="Arial" w:cs="Arial"/>
                <w:b/>
                <w:bCs/>
                <w:color w:val="000000"/>
                <w:sz w:val="17"/>
                <w:szCs w:val="17"/>
                <w:lang w:eastAsia="es-CO"/>
              </w:rPr>
              <w:t>Flujo de caja</w:t>
            </w:r>
          </w:p>
        </w:tc>
        <w:tc>
          <w:tcPr>
            <w:tcW w:w="702"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7"/>
                <w:szCs w:val="17"/>
                <w:lang w:eastAsia="es-CO"/>
              </w:rPr>
            </w:pPr>
            <w:r w:rsidRPr="00A243FB">
              <w:rPr>
                <w:rFonts w:ascii="Arial" w:eastAsia="Times New Roman" w:hAnsi="Arial" w:cs="Arial"/>
                <w:b/>
                <w:bCs/>
                <w:color w:val="000000"/>
                <w:sz w:val="17"/>
                <w:szCs w:val="17"/>
                <w:lang w:eastAsia="es-CO"/>
              </w:rPr>
              <w:t>Relación B/C</w:t>
            </w:r>
          </w:p>
        </w:tc>
      </w:tr>
      <w:tr w:rsidR="006D0D6E" w:rsidRPr="00A243FB" w:rsidTr="006D0D6E">
        <w:trPr>
          <w:trHeight w:val="20"/>
        </w:trPr>
        <w:tc>
          <w:tcPr>
            <w:cnfStyle w:val="001000000000" w:firstRow="0" w:lastRow="0" w:firstColumn="1" w:lastColumn="0" w:oddVBand="0" w:evenVBand="0" w:oddHBand="0" w:evenHBand="0" w:firstRowFirstColumn="0" w:firstRowLastColumn="0" w:lastRowFirstColumn="0" w:lastRowLastColumn="0"/>
            <w:tcW w:w="1286" w:type="pct"/>
            <w:noWrap/>
            <w:vAlign w:val="center"/>
            <w:hideMark/>
          </w:tcPr>
          <w:p w:rsidR="006D0D6E" w:rsidRPr="00A243FB" w:rsidRDefault="006D0D6E" w:rsidP="006D0D6E">
            <w:pPr>
              <w:spacing w:line="240" w:lineRule="auto"/>
              <w:contextualSpacing w:val="0"/>
              <w:jc w:val="center"/>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TIO 12%</w:t>
            </w:r>
          </w:p>
        </w:tc>
        <w:tc>
          <w:tcPr>
            <w:tcW w:w="996"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8.421.071.410</w:t>
            </w:r>
          </w:p>
        </w:tc>
        <w:tc>
          <w:tcPr>
            <w:tcW w:w="1061"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8.858.086.753</w:t>
            </w:r>
          </w:p>
        </w:tc>
        <w:tc>
          <w:tcPr>
            <w:tcW w:w="955"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437.015.343</w:t>
            </w:r>
          </w:p>
        </w:tc>
        <w:tc>
          <w:tcPr>
            <w:tcW w:w="702"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1,05</w:t>
            </w:r>
          </w:p>
        </w:tc>
      </w:tr>
      <w:tr w:rsidR="006D0D6E" w:rsidRPr="00A243FB" w:rsidTr="006D0D6E">
        <w:trPr>
          <w:trHeight w:val="20"/>
        </w:trPr>
        <w:tc>
          <w:tcPr>
            <w:cnfStyle w:val="001000000000" w:firstRow="0" w:lastRow="0" w:firstColumn="1" w:lastColumn="0" w:oddVBand="0" w:evenVBand="0" w:oddHBand="0" w:evenHBand="0" w:firstRowFirstColumn="0" w:firstRowLastColumn="0" w:lastRowFirstColumn="0" w:lastRowLastColumn="0"/>
            <w:tcW w:w="1286" w:type="pct"/>
            <w:noWrap/>
            <w:vAlign w:val="center"/>
            <w:hideMark/>
          </w:tcPr>
          <w:p w:rsidR="006D0D6E" w:rsidRPr="00A243FB" w:rsidRDefault="006D0D6E" w:rsidP="006D0D6E">
            <w:pPr>
              <w:spacing w:line="240" w:lineRule="auto"/>
              <w:contextualSpacing w:val="0"/>
              <w:jc w:val="center"/>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TIO 10%</w:t>
            </w:r>
          </w:p>
        </w:tc>
        <w:tc>
          <w:tcPr>
            <w:tcW w:w="996"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7.655.519.464</w:t>
            </w:r>
          </w:p>
        </w:tc>
        <w:tc>
          <w:tcPr>
            <w:tcW w:w="1061"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8.052.806.139</w:t>
            </w:r>
          </w:p>
        </w:tc>
        <w:tc>
          <w:tcPr>
            <w:tcW w:w="955"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397.286.675</w:t>
            </w:r>
          </w:p>
        </w:tc>
        <w:tc>
          <w:tcPr>
            <w:tcW w:w="702"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1,05</w:t>
            </w:r>
          </w:p>
        </w:tc>
      </w:tr>
      <w:tr w:rsidR="006D0D6E" w:rsidRPr="00A243FB" w:rsidTr="006D0D6E">
        <w:trPr>
          <w:trHeight w:val="20"/>
        </w:trPr>
        <w:tc>
          <w:tcPr>
            <w:cnfStyle w:val="001000000000" w:firstRow="0" w:lastRow="0" w:firstColumn="1" w:lastColumn="0" w:oddVBand="0" w:evenVBand="0" w:oddHBand="0" w:evenHBand="0" w:firstRowFirstColumn="0" w:firstRowLastColumn="0" w:lastRowFirstColumn="0" w:lastRowLastColumn="0"/>
            <w:tcW w:w="1286" w:type="pct"/>
            <w:noWrap/>
            <w:vAlign w:val="center"/>
            <w:hideMark/>
          </w:tcPr>
          <w:p w:rsidR="006D0D6E" w:rsidRPr="00A243FB" w:rsidRDefault="006D0D6E" w:rsidP="006D0D6E">
            <w:pPr>
              <w:spacing w:line="240" w:lineRule="auto"/>
              <w:contextualSpacing w:val="0"/>
              <w:jc w:val="center"/>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TIO 5%</w:t>
            </w:r>
          </w:p>
        </w:tc>
        <w:tc>
          <w:tcPr>
            <w:tcW w:w="996"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8.020.068.010</w:t>
            </w:r>
          </w:p>
        </w:tc>
        <w:tc>
          <w:tcPr>
            <w:tcW w:w="1061"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8.436.273.098</w:t>
            </w:r>
          </w:p>
        </w:tc>
        <w:tc>
          <w:tcPr>
            <w:tcW w:w="955"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416.205.088</w:t>
            </w:r>
          </w:p>
        </w:tc>
        <w:tc>
          <w:tcPr>
            <w:tcW w:w="702" w:type="pct"/>
            <w:noWrap/>
            <w:vAlign w:val="center"/>
            <w:hideMark/>
          </w:tcPr>
          <w:p w:rsidR="006D0D6E" w:rsidRPr="00A243FB" w:rsidRDefault="006D0D6E" w:rsidP="006D0D6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7"/>
                <w:szCs w:val="17"/>
                <w:lang w:eastAsia="es-CO"/>
              </w:rPr>
            </w:pPr>
            <w:r w:rsidRPr="00A243FB">
              <w:rPr>
                <w:rFonts w:ascii="Arial" w:eastAsia="Times New Roman" w:hAnsi="Arial" w:cs="Arial"/>
                <w:color w:val="000000"/>
                <w:sz w:val="17"/>
                <w:szCs w:val="17"/>
                <w:lang w:eastAsia="es-CO"/>
              </w:rPr>
              <w:t>1,05</w:t>
            </w:r>
          </w:p>
        </w:tc>
      </w:tr>
    </w:tbl>
    <w:p w:rsidR="00C77CA9" w:rsidRPr="00AA0A2C" w:rsidRDefault="00C77CA9" w:rsidP="00C77CA9">
      <w:pPr>
        <w:pStyle w:val="Notas"/>
        <w:rPr>
          <w:rFonts w:asciiTheme="majorHAnsi" w:hAnsiTheme="majorHAnsi"/>
        </w:rPr>
      </w:pPr>
      <w:r w:rsidRPr="00AA0A2C">
        <w:rPr>
          <w:rFonts w:asciiTheme="majorHAnsi" w:hAnsiTheme="majorHAnsi"/>
        </w:rPr>
        <w:t>Fuente: Autopista Rio Magdalena S.A.S., 2016.</w:t>
      </w:r>
    </w:p>
    <w:p w:rsidR="00C77CA9" w:rsidRPr="00F6067E" w:rsidRDefault="00C77CA9" w:rsidP="00C77CA9">
      <w:pPr>
        <w:rPr>
          <w:rFonts w:ascii="Arial Narrow" w:eastAsia="Times New Roman" w:hAnsi="Arial Narrow" w:cs="Arial"/>
          <w:bCs/>
          <w:iCs/>
          <w:color w:val="000000"/>
          <w:lang w:val="es-ES_tradnl" w:eastAsia="es-CO"/>
        </w:rPr>
      </w:pPr>
    </w:p>
    <w:p w:rsidR="00C77CA9" w:rsidRPr="00F6067E" w:rsidRDefault="00C77CA9" w:rsidP="00C77CA9">
      <w:pPr>
        <w:rPr>
          <w:rFonts w:ascii="Arial Narrow" w:eastAsia="Times New Roman" w:hAnsi="Arial Narrow" w:cs="Arial"/>
          <w:b/>
          <w:bCs/>
          <w:iCs/>
          <w:color w:val="000000"/>
          <w:sz w:val="18"/>
          <w:szCs w:val="18"/>
          <w:lang w:val="es-ES_tradnl" w:eastAsia="es-CO"/>
        </w:rPr>
      </w:pPr>
      <w:r w:rsidRPr="00F6067E">
        <w:rPr>
          <w:rFonts w:ascii="Arial Narrow" w:eastAsia="Times New Roman" w:hAnsi="Arial Narrow" w:cs="Arial"/>
          <w:bCs/>
          <w:iCs/>
          <w:color w:val="000000"/>
          <w:lang w:val="es-ES_tradnl" w:eastAsia="es-CO"/>
        </w:rPr>
        <w:t>Las cifras anteriores evidencian que el proyecto resiste variaciones en el incremento de costos y modificaciones hacia la disminución de beneficios, arrojando resultados siempre favorables en la relación B/C ambiental. Este comportamiento obedece a que los beneficios son superiores a los costos ambientales</w:t>
      </w:r>
      <w:r w:rsidRPr="00F6067E">
        <w:rPr>
          <w:rFonts w:ascii="Arial Narrow" w:eastAsia="Times New Roman" w:hAnsi="Arial Narrow" w:cs="Arial"/>
          <w:b/>
          <w:bCs/>
          <w:iCs/>
          <w:color w:val="000000"/>
          <w:sz w:val="18"/>
          <w:szCs w:val="18"/>
          <w:lang w:val="es-ES_tradnl" w:eastAsia="es-CO"/>
        </w:rPr>
        <w:t>.</w:t>
      </w:r>
    </w:p>
    <w:p w:rsidR="00C77CA9" w:rsidRPr="00F6067E" w:rsidRDefault="00C77CA9" w:rsidP="00C77CA9">
      <w:pPr>
        <w:rPr>
          <w:rFonts w:ascii="Arial Narrow" w:hAnsi="Arial Narrow"/>
          <w:lang w:val="es-ES_tradnl"/>
        </w:rPr>
      </w:pPr>
    </w:p>
    <w:p w:rsidR="006D0D6E" w:rsidRDefault="006D0D6E" w:rsidP="00C77CA9">
      <w:pPr>
        <w:pStyle w:val="Ttulo2"/>
        <w:rPr>
          <w:lang w:eastAsia="es-CO"/>
        </w:rPr>
        <w:sectPr w:rsidR="006D0D6E" w:rsidSect="00F0791D">
          <w:headerReference w:type="first" r:id="rId25"/>
          <w:footerReference w:type="first" r:id="rId26"/>
          <w:pgSz w:w="12240" w:h="15840" w:orient="landscape" w:code="1"/>
          <w:pgMar w:top="1701" w:right="1701" w:bottom="1701" w:left="2268" w:header="709" w:footer="709" w:gutter="0"/>
          <w:cols w:space="708"/>
          <w:titlePg/>
          <w:docGrid w:linePitch="360"/>
        </w:sectPr>
      </w:pPr>
    </w:p>
    <w:p w:rsidR="00C77CA9" w:rsidRPr="00F6067E" w:rsidRDefault="00C77CA9" w:rsidP="00C77CA9">
      <w:pPr>
        <w:pStyle w:val="Ttulo2"/>
        <w:rPr>
          <w:lang w:eastAsia="es-CO"/>
        </w:rPr>
      </w:pPr>
      <w:r w:rsidRPr="00F6067E">
        <w:rPr>
          <w:lang w:eastAsia="es-CO"/>
        </w:rPr>
        <w:t>AFECTACIÓN A LOS SERVICIOS ECOSISTÉMICOS</w:t>
      </w:r>
    </w:p>
    <w:p w:rsidR="00C77CA9" w:rsidRPr="00F6067E" w:rsidRDefault="00C77CA9" w:rsidP="00C77CA9">
      <w:pPr>
        <w:rPr>
          <w:rFonts w:ascii="Arial Narrow" w:eastAsia="Times New Roman" w:hAnsi="Arial Narrow" w:cs="Arial"/>
          <w:b/>
          <w:bCs/>
          <w:iCs/>
          <w:color w:val="000000"/>
          <w:lang w:eastAsia="es-CO"/>
        </w:rPr>
      </w:pPr>
    </w:p>
    <w:p w:rsidR="00C77CA9" w:rsidRPr="00F6067E" w:rsidRDefault="00C77CA9" w:rsidP="00C77CA9">
      <w:pPr>
        <w:rPr>
          <w:rFonts w:ascii="Arial Narrow" w:eastAsia="Times New Roman" w:hAnsi="Arial Narrow" w:cs="Arial"/>
          <w:bCs/>
          <w:iCs/>
          <w:color w:val="000000"/>
          <w:lang w:eastAsia="es-CO"/>
        </w:rPr>
      </w:pPr>
      <w:r w:rsidRPr="00F6067E">
        <w:rPr>
          <w:rFonts w:ascii="Arial Narrow" w:eastAsia="Times New Roman" w:hAnsi="Arial Narrow" w:cs="Arial"/>
          <w:bCs/>
          <w:iCs/>
          <w:color w:val="000000"/>
          <w:lang w:eastAsia="es-CO"/>
        </w:rPr>
        <w:t>De manera complementaria a los análisis anteriores, la Consultoría ha estimado las afectaciones a los servicios Ecosistémicos y el detalle se presen</w:t>
      </w:r>
      <w:r w:rsidR="006D0D6E">
        <w:rPr>
          <w:rFonts w:ascii="Arial Narrow" w:eastAsia="Times New Roman" w:hAnsi="Arial Narrow" w:cs="Arial"/>
          <w:bCs/>
          <w:iCs/>
          <w:color w:val="000000"/>
          <w:lang w:eastAsia="es-CO"/>
        </w:rPr>
        <w:t>ta en las siguiente Tabla</w:t>
      </w:r>
      <w:r w:rsidRPr="00F6067E">
        <w:rPr>
          <w:rFonts w:ascii="Arial Narrow" w:eastAsia="Times New Roman" w:hAnsi="Arial Narrow" w:cs="Arial"/>
          <w:bCs/>
          <w:iCs/>
          <w:color w:val="000000"/>
          <w:lang w:eastAsia="es-CO"/>
        </w:rPr>
        <w:t>.</w:t>
      </w:r>
    </w:p>
    <w:p w:rsidR="006D0D6E" w:rsidRDefault="006D0D6E" w:rsidP="006D0D6E">
      <w:pPr>
        <w:pStyle w:val="Tablas"/>
      </w:pPr>
    </w:p>
    <w:p w:rsidR="00C77CA9" w:rsidRPr="006D0D6E" w:rsidRDefault="006D0D6E" w:rsidP="006D0D6E">
      <w:pPr>
        <w:pStyle w:val="Tablas"/>
      </w:pPr>
      <w:r>
        <w:t xml:space="preserve">Tabla </w:t>
      </w:r>
      <w:r>
        <w:fldChar w:fldCharType="begin"/>
      </w:r>
      <w:r>
        <w:instrText xml:space="preserve"> STYLEREF 1 \s </w:instrText>
      </w:r>
      <w:r>
        <w:fldChar w:fldCharType="separate"/>
      </w:r>
      <w:r>
        <w:rPr>
          <w:noProof/>
        </w:rPr>
        <w:t>10</w:t>
      </w:r>
      <w:r>
        <w:fldChar w:fldCharType="end"/>
      </w:r>
      <w:r>
        <w:t>.</w:t>
      </w:r>
      <w:r>
        <w:fldChar w:fldCharType="begin"/>
      </w:r>
      <w:r>
        <w:instrText xml:space="preserve"> SEQ Tabla \* ARABIC \s 1 </w:instrText>
      </w:r>
      <w:r>
        <w:fldChar w:fldCharType="separate"/>
      </w:r>
      <w:r>
        <w:rPr>
          <w:noProof/>
        </w:rPr>
        <w:t>29</w:t>
      </w:r>
      <w:r>
        <w:fldChar w:fldCharType="end"/>
      </w:r>
      <w:r>
        <w:t xml:space="preserve"> Servicios Ecosistémicos</w:t>
      </w:r>
    </w:p>
    <w:tbl>
      <w:tblPr>
        <w:tblW w:w="5000" w:type="pct"/>
        <w:tblLayout w:type="fixed"/>
        <w:tblCellMar>
          <w:left w:w="70" w:type="dxa"/>
          <w:right w:w="70" w:type="dxa"/>
        </w:tblCellMar>
        <w:tblLook w:val="04A0" w:firstRow="1" w:lastRow="0" w:firstColumn="1" w:lastColumn="0" w:noHBand="0" w:noVBand="1"/>
      </w:tblPr>
      <w:tblGrid>
        <w:gridCol w:w="1272"/>
        <w:gridCol w:w="3542"/>
        <w:gridCol w:w="1844"/>
        <w:gridCol w:w="1416"/>
        <w:gridCol w:w="2268"/>
        <w:gridCol w:w="1521"/>
      </w:tblGrid>
      <w:tr w:rsidR="006D0D6E" w:rsidRPr="006D0D6E" w:rsidTr="006D0D6E">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6D0D6E" w:rsidRPr="006D0D6E" w:rsidRDefault="006D0D6E" w:rsidP="006D0D6E">
            <w:pPr>
              <w:spacing w:line="240" w:lineRule="auto"/>
              <w:contextualSpacing w:val="0"/>
              <w:jc w:val="center"/>
              <w:rPr>
                <w:rFonts w:ascii="Arial" w:eastAsia="Times New Roman" w:hAnsi="Arial" w:cs="Arial"/>
                <w:b/>
                <w:bCs/>
                <w:color w:val="000000"/>
                <w:sz w:val="16"/>
                <w:szCs w:val="16"/>
                <w:lang w:eastAsia="es-CO"/>
              </w:rPr>
            </w:pPr>
            <w:r w:rsidRPr="006D0D6E">
              <w:rPr>
                <w:rFonts w:ascii="Arial" w:eastAsia="Times New Roman" w:hAnsi="Arial" w:cs="Arial"/>
                <w:b/>
                <w:bCs/>
                <w:color w:val="000000"/>
                <w:sz w:val="16"/>
                <w:szCs w:val="16"/>
                <w:lang w:eastAsia="es-CO"/>
              </w:rPr>
              <w:t xml:space="preserve">AFECTACIÓN DE LOS SERVICIOS ECOSISTÉMICOS </w:t>
            </w:r>
          </w:p>
        </w:tc>
      </w:tr>
      <w:tr w:rsidR="006D0D6E" w:rsidRPr="006D0D6E" w:rsidTr="006D0D6E">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000000" w:fill="BFBFBF"/>
            <w:noWrap/>
            <w:vAlign w:val="bottom"/>
          </w:tcPr>
          <w:p w:rsidR="006D0D6E" w:rsidRPr="006D0D6E" w:rsidRDefault="006D0D6E" w:rsidP="006D0D6E">
            <w:pPr>
              <w:spacing w:line="240" w:lineRule="auto"/>
              <w:contextualSpacing w:val="0"/>
              <w:jc w:val="center"/>
              <w:rPr>
                <w:rFonts w:ascii="Arial" w:eastAsia="Times New Roman" w:hAnsi="Arial" w:cs="Arial"/>
                <w:b/>
                <w:bCs/>
                <w:color w:val="000000"/>
                <w:sz w:val="16"/>
                <w:szCs w:val="16"/>
                <w:lang w:eastAsia="es-CO"/>
              </w:rPr>
            </w:pPr>
          </w:p>
        </w:tc>
      </w:tr>
      <w:tr w:rsidR="006D0D6E" w:rsidRPr="006D0D6E" w:rsidTr="006D0D6E">
        <w:trPr>
          <w:trHeight w:val="20"/>
        </w:trPr>
        <w:tc>
          <w:tcPr>
            <w:tcW w:w="536" w:type="pct"/>
            <w:tcBorders>
              <w:top w:val="nil"/>
              <w:left w:val="single" w:sz="4" w:space="0" w:color="auto"/>
              <w:bottom w:val="single" w:sz="4" w:space="0" w:color="auto"/>
              <w:right w:val="single" w:sz="4" w:space="0" w:color="auto"/>
            </w:tcBorders>
            <w:shd w:val="clear" w:color="000000" w:fill="D9D9D9"/>
            <w:noWrap/>
            <w:vAlign w:val="bottom"/>
            <w:hideMark/>
          </w:tcPr>
          <w:p w:rsidR="006D0D6E" w:rsidRPr="006D0D6E" w:rsidRDefault="006D0D6E" w:rsidP="006D0D6E">
            <w:pPr>
              <w:spacing w:line="240" w:lineRule="auto"/>
              <w:contextualSpacing w:val="0"/>
              <w:jc w:val="center"/>
              <w:rPr>
                <w:rFonts w:ascii="Arial" w:eastAsia="Times New Roman" w:hAnsi="Arial" w:cs="Arial"/>
                <w:b/>
                <w:bCs/>
                <w:color w:val="000000"/>
                <w:sz w:val="16"/>
                <w:szCs w:val="16"/>
                <w:lang w:eastAsia="es-CO"/>
              </w:rPr>
            </w:pPr>
            <w:r w:rsidRPr="006D0D6E">
              <w:rPr>
                <w:rFonts w:ascii="Arial" w:eastAsia="Times New Roman" w:hAnsi="Arial" w:cs="Arial"/>
                <w:b/>
                <w:bCs/>
                <w:color w:val="000000"/>
                <w:sz w:val="16"/>
                <w:szCs w:val="16"/>
                <w:lang w:eastAsia="es-CO"/>
              </w:rPr>
              <w:t>Servicios Ecosistémicos</w:t>
            </w:r>
          </w:p>
        </w:tc>
        <w:tc>
          <w:tcPr>
            <w:tcW w:w="1493" w:type="pct"/>
            <w:tcBorders>
              <w:top w:val="nil"/>
              <w:left w:val="nil"/>
              <w:bottom w:val="single" w:sz="4" w:space="0" w:color="auto"/>
              <w:right w:val="single" w:sz="4" w:space="0" w:color="auto"/>
            </w:tcBorders>
            <w:shd w:val="clear" w:color="000000" w:fill="D9D9D9"/>
            <w:noWrap/>
            <w:vAlign w:val="bottom"/>
            <w:hideMark/>
          </w:tcPr>
          <w:p w:rsidR="006D0D6E" w:rsidRPr="006D0D6E" w:rsidRDefault="006D0D6E" w:rsidP="006D0D6E">
            <w:pPr>
              <w:spacing w:line="240" w:lineRule="auto"/>
              <w:contextualSpacing w:val="0"/>
              <w:jc w:val="center"/>
              <w:rPr>
                <w:rFonts w:ascii="Arial" w:eastAsia="Times New Roman" w:hAnsi="Arial" w:cs="Arial"/>
                <w:b/>
                <w:bCs/>
                <w:color w:val="000000"/>
                <w:sz w:val="16"/>
                <w:szCs w:val="16"/>
                <w:lang w:eastAsia="es-CO"/>
              </w:rPr>
            </w:pPr>
            <w:r w:rsidRPr="006D0D6E">
              <w:rPr>
                <w:rFonts w:ascii="Arial" w:eastAsia="Times New Roman" w:hAnsi="Arial" w:cs="Arial"/>
                <w:b/>
                <w:bCs/>
                <w:color w:val="000000"/>
                <w:sz w:val="16"/>
                <w:szCs w:val="16"/>
                <w:lang w:eastAsia="es-CO"/>
              </w:rPr>
              <w:t>Descripción</w:t>
            </w:r>
          </w:p>
        </w:tc>
        <w:tc>
          <w:tcPr>
            <w:tcW w:w="777" w:type="pct"/>
            <w:tcBorders>
              <w:top w:val="nil"/>
              <w:left w:val="nil"/>
              <w:bottom w:val="single" w:sz="4" w:space="0" w:color="auto"/>
              <w:right w:val="single" w:sz="4" w:space="0" w:color="auto"/>
            </w:tcBorders>
            <w:shd w:val="clear" w:color="000000" w:fill="D9D9D9"/>
            <w:noWrap/>
            <w:vAlign w:val="bottom"/>
            <w:hideMark/>
          </w:tcPr>
          <w:p w:rsidR="006D0D6E" w:rsidRPr="006D0D6E" w:rsidRDefault="006D0D6E" w:rsidP="006D0D6E">
            <w:pPr>
              <w:spacing w:line="240" w:lineRule="auto"/>
              <w:contextualSpacing w:val="0"/>
              <w:jc w:val="center"/>
              <w:rPr>
                <w:rFonts w:ascii="Arial" w:eastAsia="Times New Roman" w:hAnsi="Arial" w:cs="Arial"/>
                <w:b/>
                <w:bCs/>
                <w:color w:val="000000"/>
                <w:sz w:val="16"/>
                <w:szCs w:val="16"/>
                <w:lang w:eastAsia="es-CO"/>
              </w:rPr>
            </w:pPr>
            <w:r w:rsidRPr="006D0D6E">
              <w:rPr>
                <w:rFonts w:ascii="Arial" w:eastAsia="Times New Roman" w:hAnsi="Arial" w:cs="Arial"/>
                <w:b/>
                <w:bCs/>
                <w:color w:val="000000"/>
                <w:sz w:val="16"/>
                <w:szCs w:val="16"/>
                <w:lang w:eastAsia="es-CO"/>
              </w:rPr>
              <w:t>Impactos Negativos a evaluar</w:t>
            </w:r>
          </w:p>
        </w:tc>
        <w:tc>
          <w:tcPr>
            <w:tcW w:w="597" w:type="pct"/>
            <w:tcBorders>
              <w:top w:val="nil"/>
              <w:left w:val="nil"/>
              <w:bottom w:val="single" w:sz="4" w:space="0" w:color="auto"/>
              <w:right w:val="single" w:sz="4" w:space="0" w:color="auto"/>
            </w:tcBorders>
            <w:shd w:val="clear" w:color="000000" w:fill="D9D9D9"/>
            <w:noWrap/>
            <w:vAlign w:val="center"/>
            <w:hideMark/>
          </w:tcPr>
          <w:p w:rsidR="006D0D6E" w:rsidRPr="006D0D6E" w:rsidRDefault="006D0D6E" w:rsidP="006D0D6E">
            <w:pPr>
              <w:spacing w:line="240" w:lineRule="auto"/>
              <w:contextualSpacing w:val="0"/>
              <w:jc w:val="center"/>
              <w:rPr>
                <w:rFonts w:ascii="Arial" w:eastAsia="Times New Roman" w:hAnsi="Arial" w:cs="Arial"/>
                <w:b/>
                <w:bCs/>
                <w:sz w:val="16"/>
                <w:szCs w:val="16"/>
                <w:lang w:eastAsia="es-CO"/>
              </w:rPr>
            </w:pPr>
            <w:r w:rsidRPr="006D0D6E">
              <w:rPr>
                <w:rFonts w:ascii="Arial" w:eastAsia="Times New Roman" w:hAnsi="Arial" w:cs="Arial"/>
                <w:b/>
                <w:bCs/>
                <w:sz w:val="16"/>
                <w:szCs w:val="16"/>
                <w:lang w:eastAsia="es-CO"/>
              </w:rPr>
              <w:t>Valor Costos Ambientales ($)</w:t>
            </w:r>
          </w:p>
        </w:tc>
        <w:tc>
          <w:tcPr>
            <w:tcW w:w="956" w:type="pct"/>
            <w:tcBorders>
              <w:top w:val="nil"/>
              <w:left w:val="nil"/>
              <w:bottom w:val="single" w:sz="4" w:space="0" w:color="auto"/>
              <w:right w:val="single" w:sz="4" w:space="0" w:color="auto"/>
            </w:tcBorders>
            <w:shd w:val="clear" w:color="000000" w:fill="D9D9D9"/>
            <w:noWrap/>
            <w:vAlign w:val="bottom"/>
            <w:hideMark/>
          </w:tcPr>
          <w:p w:rsidR="006D0D6E" w:rsidRPr="006D0D6E" w:rsidRDefault="006D0D6E" w:rsidP="006D0D6E">
            <w:pPr>
              <w:spacing w:line="240" w:lineRule="auto"/>
              <w:contextualSpacing w:val="0"/>
              <w:jc w:val="center"/>
              <w:rPr>
                <w:rFonts w:ascii="Arial" w:eastAsia="Times New Roman" w:hAnsi="Arial" w:cs="Arial"/>
                <w:b/>
                <w:bCs/>
                <w:color w:val="000000"/>
                <w:sz w:val="16"/>
                <w:szCs w:val="16"/>
                <w:lang w:eastAsia="es-CO"/>
              </w:rPr>
            </w:pPr>
            <w:r w:rsidRPr="006D0D6E">
              <w:rPr>
                <w:rFonts w:ascii="Arial" w:eastAsia="Times New Roman" w:hAnsi="Arial" w:cs="Arial"/>
                <w:b/>
                <w:bCs/>
                <w:color w:val="000000"/>
                <w:sz w:val="16"/>
                <w:szCs w:val="16"/>
                <w:lang w:eastAsia="es-CO"/>
              </w:rPr>
              <w:t>Impactos Positivos Evaluados</w:t>
            </w:r>
          </w:p>
        </w:tc>
        <w:tc>
          <w:tcPr>
            <w:tcW w:w="641" w:type="pct"/>
            <w:tcBorders>
              <w:top w:val="nil"/>
              <w:left w:val="nil"/>
              <w:bottom w:val="single" w:sz="4" w:space="0" w:color="auto"/>
              <w:right w:val="single" w:sz="4" w:space="0" w:color="auto"/>
            </w:tcBorders>
            <w:shd w:val="clear" w:color="000000" w:fill="D9D9D9"/>
            <w:noWrap/>
            <w:vAlign w:val="center"/>
            <w:hideMark/>
          </w:tcPr>
          <w:p w:rsidR="006D0D6E" w:rsidRPr="006D0D6E" w:rsidRDefault="006D0D6E" w:rsidP="006D0D6E">
            <w:pPr>
              <w:spacing w:line="240" w:lineRule="auto"/>
              <w:contextualSpacing w:val="0"/>
              <w:jc w:val="center"/>
              <w:rPr>
                <w:rFonts w:ascii="Arial" w:eastAsia="Times New Roman" w:hAnsi="Arial" w:cs="Arial"/>
                <w:b/>
                <w:bCs/>
                <w:sz w:val="16"/>
                <w:szCs w:val="16"/>
                <w:lang w:eastAsia="es-CO"/>
              </w:rPr>
            </w:pPr>
            <w:r w:rsidRPr="006D0D6E">
              <w:rPr>
                <w:rFonts w:ascii="Arial" w:eastAsia="Times New Roman" w:hAnsi="Arial" w:cs="Arial"/>
                <w:b/>
                <w:bCs/>
                <w:sz w:val="16"/>
                <w:szCs w:val="16"/>
                <w:lang w:eastAsia="es-CO"/>
              </w:rPr>
              <w:t>Valor Beneficios Ambientales ($)</w:t>
            </w:r>
          </w:p>
        </w:tc>
      </w:tr>
      <w:tr w:rsidR="006D0D6E" w:rsidRPr="006D0D6E" w:rsidTr="006D0D6E">
        <w:trPr>
          <w:trHeight w:val="20"/>
        </w:trPr>
        <w:tc>
          <w:tcPr>
            <w:tcW w:w="536" w:type="pct"/>
            <w:tcBorders>
              <w:top w:val="nil"/>
              <w:left w:val="single" w:sz="4" w:space="0" w:color="auto"/>
              <w:bottom w:val="nil"/>
              <w:right w:val="single" w:sz="4" w:space="0" w:color="auto"/>
            </w:tcBorders>
            <w:shd w:val="clear" w:color="auto" w:fill="auto"/>
            <w:vAlign w:val="center"/>
            <w:hideMark/>
          </w:tcPr>
          <w:p w:rsidR="006D0D6E" w:rsidRPr="006D0D6E" w:rsidRDefault="006D0D6E" w:rsidP="006D0D6E">
            <w:pPr>
              <w:spacing w:line="240" w:lineRule="auto"/>
              <w:contextualSpacing w:val="0"/>
              <w:jc w:val="center"/>
              <w:rPr>
                <w:rFonts w:ascii="Arial" w:eastAsia="Times New Roman" w:hAnsi="Arial" w:cs="Arial"/>
                <w:b/>
                <w:bCs/>
                <w:color w:val="000000"/>
                <w:sz w:val="16"/>
                <w:szCs w:val="16"/>
                <w:lang w:eastAsia="es-CO"/>
              </w:rPr>
            </w:pPr>
            <w:r w:rsidRPr="006D0D6E">
              <w:rPr>
                <w:rFonts w:ascii="Arial" w:eastAsia="Times New Roman" w:hAnsi="Arial" w:cs="Arial"/>
                <w:b/>
                <w:bCs/>
                <w:color w:val="000000"/>
                <w:sz w:val="16"/>
                <w:szCs w:val="16"/>
                <w:lang w:eastAsia="es-CO"/>
              </w:rPr>
              <w:t>Servicios de Provisión</w:t>
            </w:r>
          </w:p>
        </w:tc>
        <w:tc>
          <w:tcPr>
            <w:tcW w:w="1493" w:type="pct"/>
            <w:tcBorders>
              <w:top w:val="nil"/>
              <w:left w:val="nil"/>
              <w:bottom w:val="nil"/>
              <w:right w:val="single" w:sz="4" w:space="0" w:color="auto"/>
            </w:tcBorders>
            <w:shd w:val="clear" w:color="auto" w:fill="auto"/>
            <w:vAlign w:val="center"/>
            <w:hideMark/>
          </w:tcPr>
          <w:p w:rsidR="006D0D6E" w:rsidRPr="006D0D6E" w:rsidRDefault="006D0D6E" w:rsidP="006D0D6E">
            <w:pPr>
              <w:spacing w:line="240" w:lineRule="auto"/>
              <w:contextualSpacing w:val="0"/>
              <w:rPr>
                <w:rFonts w:ascii="Arial" w:eastAsia="Times New Roman" w:hAnsi="Arial" w:cs="Arial"/>
                <w:color w:val="000000"/>
                <w:sz w:val="16"/>
                <w:szCs w:val="16"/>
                <w:lang w:eastAsia="es-CO"/>
              </w:rPr>
            </w:pPr>
            <w:r w:rsidRPr="006D0D6E">
              <w:rPr>
                <w:rFonts w:ascii="Arial" w:eastAsia="Times New Roman" w:hAnsi="Arial" w:cs="Arial"/>
                <w:color w:val="000000"/>
                <w:sz w:val="16"/>
                <w:szCs w:val="16"/>
                <w:lang w:eastAsia="es-CO"/>
              </w:rPr>
              <w:t>Beneficios representados en bienes que se obtienen de los ecosistemas como alimentos, fibras, maderas, leña, agua, suelo, recursos genéticos, pieles, mascotas, entre otros. Bienes que ofrece la naturaleza de forma directa para suplir las necesidades básicas.</w:t>
            </w:r>
          </w:p>
        </w:tc>
        <w:tc>
          <w:tcPr>
            <w:tcW w:w="777" w:type="pct"/>
            <w:tcBorders>
              <w:top w:val="nil"/>
              <w:left w:val="nil"/>
              <w:bottom w:val="single" w:sz="4" w:space="0" w:color="auto"/>
              <w:right w:val="single" w:sz="4" w:space="0" w:color="auto"/>
            </w:tcBorders>
            <w:shd w:val="clear" w:color="000000" w:fill="FFFFFF"/>
            <w:vAlign w:val="center"/>
            <w:hideMark/>
          </w:tcPr>
          <w:p w:rsidR="006D0D6E" w:rsidRPr="006D0D6E" w:rsidRDefault="006D0D6E" w:rsidP="006D0D6E">
            <w:pPr>
              <w:spacing w:line="240" w:lineRule="auto"/>
              <w:contextualSpacing w:val="0"/>
              <w:jc w:val="left"/>
              <w:rPr>
                <w:rFonts w:ascii="Arial" w:eastAsia="Times New Roman" w:hAnsi="Arial" w:cs="Arial"/>
                <w:color w:val="000000"/>
                <w:sz w:val="16"/>
                <w:szCs w:val="16"/>
                <w:lang w:eastAsia="es-CO"/>
              </w:rPr>
            </w:pPr>
            <w:r w:rsidRPr="006D0D6E">
              <w:rPr>
                <w:rFonts w:ascii="Arial" w:eastAsia="Times New Roman" w:hAnsi="Arial" w:cs="Arial"/>
                <w:color w:val="000000"/>
                <w:sz w:val="16"/>
                <w:szCs w:val="16"/>
                <w:lang w:eastAsia="es-CO"/>
              </w:rPr>
              <w:t>Afectación de la actividad Pecuaria</w:t>
            </w:r>
          </w:p>
        </w:tc>
        <w:tc>
          <w:tcPr>
            <w:tcW w:w="597" w:type="pct"/>
            <w:tcBorders>
              <w:top w:val="nil"/>
              <w:left w:val="nil"/>
              <w:bottom w:val="single" w:sz="4" w:space="0" w:color="auto"/>
              <w:right w:val="single" w:sz="4" w:space="0" w:color="auto"/>
            </w:tcBorders>
            <w:shd w:val="clear" w:color="000000" w:fill="FFFFFF"/>
            <w:noWrap/>
            <w:vAlign w:val="bottom"/>
            <w:hideMark/>
          </w:tcPr>
          <w:p w:rsidR="006D0D6E" w:rsidRPr="006D0D6E" w:rsidRDefault="006D0D6E" w:rsidP="006D0D6E">
            <w:pPr>
              <w:spacing w:line="240" w:lineRule="auto"/>
              <w:contextualSpacing w:val="0"/>
              <w:jc w:val="right"/>
              <w:rPr>
                <w:rFonts w:ascii="Arial" w:eastAsia="Times New Roman" w:hAnsi="Arial" w:cs="Arial"/>
                <w:sz w:val="16"/>
                <w:szCs w:val="16"/>
                <w:lang w:eastAsia="es-CO"/>
              </w:rPr>
            </w:pPr>
            <w:r w:rsidRPr="006D0D6E">
              <w:rPr>
                <w:rFonts w:ascii="Arial" w:eastAsia="Times New Roman" w:hAnsi="Arial" w:cs="Arial"/>
                <w:sz w:val="16"/>
                <w:szCs w:val="16"/>
                <w:lang w:eastAsia="es-CO"/>
              </w:rPr>
              <w:t>779.935.324</w:t>
            </w:r>
          </w:p>
        </w:tc>
        <w:tc>
          <w:tcPr>
            <w:tcW w:w="956" w:type="pct"/>
            <w:tcBorders>
              <w:top w:val="nil"/>
              <w:left w:val="nil"/>
              <w:bottom w:val="single" w:sz="4" w:space="0" w:color="auto"/>
              <w:right w:val="single" w:sz="4" w:space="0" w:color="auto"/>
            </w:tcBorders>
            <w:shd w:val="clear" w:color="auto" w:fill="auto"/>
            <w:vAlign w:val="center"/>
            <w:hideMark/>
          </w:tcPr>
          <w:p w:rsidR="006D0D6E" w:rsidRPr="006D0D6E" w:rsidRDefault="006D0D6E" w:rsidP="006D0D6E">
            <w:pPr>
              <w:spacing w:line="240" w:lineRule="auto"/>
              <w:contextualSpacing w:val="0"/>
              <w:jc w:val="left"/>
              <w:rPr>
                <w:rFonts w:ascii="Arial" w:eastAsia="Times New Roman" w:hAnsi="Arial" w:cs="Arial"/>
                <w:color w:val="000000"/>
                <w:sz w:val="16"/>
                <w:szCs w:val="16"/>
                <w:lang w:eastAsia="es-CO"/>
              </w:rPr>
            </w:pPr>
            <w:r w:rsidRPr="006D0D6E">
              <w:rPr>
                <w:rFonts w:ascii="Arial" w:eastAsia="Times New Roman" w:hAnsi="Arial" w:cs="Arial"/>
                <w:color w:val="000000"/>
                <w:sz w:val="16"/>
                <w:szCs w:val="16"/>
                <w:lang w:eastAsia="es-CO"/>
              </w:rPr>
              <w:t> </w:t>
            </w:r>
          </w:p>
        </w:tc>
        <w:tc>
          <w:tcPr>
            <w:tcW w:w="641" w:type="pct"/>
            <w:tcBorders>
              <w:top w:val="nil"/>
              <w:left w:val="nil"/>
              <w:bottom w:val="single" w:sz="4" w:space="0" w:color="auto"/>
              <w:right w:val="single" w:sz="4" w:space="0" w:color="auto"/>
            </w:tcBorders>
            <w:shd w:val="clear" w:color="000000" w:fill="FFFFFF"/>
            <w:noWrap/>
            <w:vAlign w:val="bottom"/>
            <w:hideMark/>
          </w:tcPr>
          <w:p w:rsidR="006D0D6E" w:rsidRPr="006D0D6E" w:rsidRDefault="006D0D6E" w:rsidP="006D0D6E">
            <w:pPr>
              <w:spacing w:line="240" w:lineRule="auto"/>
              <w:contextualSpacing w:val="0"/>
              <w:jc w:val="left"/>
              <w:rPr>
                <w:rFonts w:ascii="Arial" w:eastAsia="Times New Roman" w:hAnsi="Arial" w:cs="Arial"/>
                <w:sz w:val="16"/>
                <w:szCs w:val="16"/>
                <w:lang w:eastAsia="es-CO"/>
              </w:rPr>
            </w:pPr>
            <w:r w:rsidRPr="006D0D6E">
              <w:rPr>
                <w:rFonts w:ascii="Arial" w:eastAsia="Times New Roman" w:hAnsi="Arial" w:cs="Arial"/>
                <w:sz w:val="16"/>
                <w:szCs w:val="16"/>
                <w:lang w:eastAsia="es-CO"/>
              </w:rPr>
              <w:t> </w:t>
            </w:r>
          </w:p>
        </w:tc>
      </w:tr>
      <w:tr w:rsidR="006D0D6E" w:rsidRPr="006D0D6E" w:rsidTr="006D0D6E">
        <w:trPr>
          <w:trHeight w:val="20"/>
        </w:trPr>
        <w:tc>
          <w:tcPr>
            <w:tcW w:w="280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D0D6E" w:rsidRPr="006D0D6E" w:rsidRDefault="006D0D6E" w:rsidP="006D0D6E">
            <w:pPr>
              <w:spacing w:line="240" w:lineRule="auto"/>
              <w:contextualSpacing w:val="0"/>
              <w:rPr>
                <w:rFonts w:ascii="Arial" w:eastAsia="Times New Roman" w:hAnsi="Arial" w:cs="Arial"/>
                <w:b/>
                <w:bCs/>
                <w:color w:val="000000"/>
                <w:sz w:val="16"/>
                <w:szCs w:val="16"/>
                <w:lang w:eastAsia="es-CO"/>
              </w:rPr>
            </w:pPr>
            <w:r w:rsidRPr="006D0D6E">
              <w:rPr>
                <w:rFonts w:ascii="Arial" w:eastAsia="Times New Roman" w:hAnsi="Arial" w:cs="Arial"/>
                <w:b/>
                <w:bCs/>
                <w:color w:val="000000"/>
                <w:sz w:val="16"/>
                <w:szCs w:val="16"/>
                <w:lang w:eastAsia="es-CO"/>
              </w:rPr>
              <w:t>Total Servicios de Provisión</w:t>
            </w:r>
          </w:p>
        </w:tc>
        <w:tc>
          <w:tcPr>
            <w:tcW w:w="597" w:type="pct"/>
            <w:tcBorders>
              <w:top w:val="nil"/>
              <w:left w:val="nil"/>
              <w:bottom w:val="single" w:sz="4" w:space="0" w:color="auto"/>
              <w:right w:val="single" w:sz="4" w:space="0" w:color="auto"/>
            </w:tcBorders>
            <w:shd w:val="clear" w:color="000000" w:fill="FFFFFF"/>
            <w:noWrap/>
            <w:vAlign w:val="bottom"/>
            <w:hideMark/>
          </w:tcPr>
          <w:p w:rsidR="006D0D6E" w:rsidRPr="006D0D6E" w:rsidRDefault="006D0D6E" w:rsidP="006D0D6E">
            <w:pPr>
              <w:spacing w:line="240" w:lineRule="auto"/>
              <w:contextualSpacing w:val="0"/>
              <w:jc w:val="right"/>
              <w:rPr>
                <w:rFonts w:ascii="Arial" w:eastAsia="Times New Roman" w:hAnsi="Arial" w:cs="Arial"/>
                <w:b/>
                <w:bCs/>
                <w:sz w:val="16"/>
                <w:szCs w:val="16"/>
                <w:lang w:eastAsia="es-CO"/>
              </w:rPr>
            </w:pPr>
            <w:r w:rsidRPr="006D0D6E">
              <w:rPr>
                <w:rFonts w:ascii="Arial" w:eastAsia="Times New Roman" w:hAnsi="Arial" w:cs="Arial"/>
                <w:b/>
                <w:bCs/>
                <w:sz w:val="16"/>
                <w:szCs w:val="16"/>
                <w:lang w:eastAsia="es-CO"/>
              </w:rPr>
              <w:t>779.935.324</w:t>
            </w:r>
          </w:p>
        </w:tc>
        <w:tc>
          <w:tcPr>
            <w:tcW w:w="956" w:type="pct"/>
            <w:tcBorders>
              <w:top w:val="nil"/>
              <w:left w:val="nil"/>
              <w:bottom w:val="single" w:sz="4" w:space="0" w:color="auto"/>
              <w:right w:val="single" w:sz="4" w:space="0" w:color="auto"/>
            </w:tcBorders>
            <w:shd w:val="clear" w:color="auto" w:fill="auto"/>
            <w:vAlign w:val="center"/>
            <w:hideMark/>
          </w:tcPr>
          <w:p w:rsidR="006D0D6E" w:rsidRPr="006D0D6E" w:rsidRDefault="006D0D6E" w:rsidP="006D0D6E">
            <w:pPr>
              <w:spacing w:line="240" w:lineRule="auto"/>
              <w:contextualSpacing w:val="0"/>
              <w:jc w:val="left"/>
              <w:rPr>
                <w:rFonts w:ascii="Arial" w:eastAsia="Times New Roman" w:hAnsi="Arial" w:cs="Arial"/>
                <w:color w:val="000000"/>
                <w:sz w:val="16"/>
                <w:szCs w:val="16"/>
                <w:lang w:eastAsia="es-CO"/>
              </w:rPr>
            </w:pPr>
            <w:r w:rsidRPr="006D0D6E">
              <w:rPr>
                <w:rFonts w:ascii="Arial" w:eastAsia="Times New Roman" w:hAnsi="Arial" w:cs="Arial"/>
                <w:color w:val="000000"/>
                <w:sz w:val="16"/>
                <w:szCs w:val="16"/>
                <w:lang w:eastAsia="es-CO"/>
              </w:rPr>
              <w:t> </w:t>
            </w:r>
          </w:p>
        </w:tc>
        <w:tc>
          <w:tcPr>
            <w:tcW w:w="641" w:type="pct"/>
            <w:tcBorders>
              <w:top w:val="nil"/>
              <w:left w:val="nil"/>
              <w:bottom w:val="single" w:sz="4" w:space="0" w:color="auto"/>
              <w:right w:val="single" w:sz="4" w:space="0" w:color="auto"/>
            </w:tcBorders>
            <w:shd w:val="clear" w:color="000000" w:fill="FFFFFF"/>
            <w:noWrap/>
            <w:vAlign w:val="bottom"/>
            <w:hideMark/>
          </w:tcPr>
          <w:p w:rsidR="006D0D6E" w:rsidRPr="006D0D6E" w:rsidRDefault="006D0D6E" w:rsidP="006D0D6E">
            <w:pPr>
              <w:spacing w:line="240" w:lineRule="auto"/>
              <w:contextualSpacing w:val="0"/>
              <w:jc w:val="right"/>
              <w:rPr>
                <w:rFonts w:ascii="Arial" w:eastAsia="Times New Roman" w:hAnsi="Arial" w:cs="Arial"/>
                <w:b/>
                <w:bCs/>
                <w:sz w:val="16"/>
                <w:szCs w:val="16"/>
                <w:lang w:eastAsia="es-CO"/>
              </w:rPr>
            </w:pPr>
            <w:r w:rsidRPr="006D0D6E">
              <w:rPr>
                <w:rFonts w:ascii="Arial" w:eastAsia="Times New Roman" w:hAnsi="Arial" w:cs="Arial"/>
                <w:b/>
                <w:bCs/>
                <w:sz w:val="16"/>
                <w:szCs w:val="16"/>
                <w:lang w:eastAsia="es-CO"/>
              </w:rPr>
              <w:t>0</w:t>
            </w:r>
          </w:p>
        </w:tc>
      </w:tr>
      <w:tr w:rsidR="006D0D6E" w:rsidRPr="006D0D6E" w:rsidTr="006D0D6E">
        <w:trPr>
          <w:trHeight w:val="20"/>
        </w:trPr>
        <w:tc>
          <w:tcPr>
            <w:tcW w:w="536" w:type="pct"/>
            <w:vMerge w:val="restart"/>
            <w:tcBorders>
              <w:top w:val="nil"/>
              <w:left w:val="single" w:sz="4" w:space="0" w:color="auto"/>
              <w:bottom w:val="nil"/>
              <w:right w:val="single" w:sz="4" w:space="0" w:color="auto"/>
            </w:tcBorders>
            <w:shd w:val="clear" w:color="auto" w:fill="auto"/>
            <w:vAlign w:val="center"/>
            <w:hideMark/>
          </w:tcPr>
          <w:p w:rsidR="006D0D6E" w:rsidRPr="006D0D6E" w:rsidRDefault="006D0D6E" w:rsidP="006D0D6E">
            <w:pPr>
              <w:spacing w:line="240" w:lineRule="auto"/>
              <w:contextualSpacing w:val="0"/>
              <w:jc w:val="center"/>
              <w:rPr>
                <w:rFonts w:ascii="Arial" w:eastAsia="Times New Roman" w:hAnsi="Arial" w:cs="Arial"/>
                <w:b/>
                <w:bCs/>
                <w:color w:val="000000"/>
                <w:sz w:val="16"/>
                <w:szCs w:val="16"/>
                <w:lang w:eastAsia="es-CO"/>
              </w:rPr>
            </w:pPr>
            <w:r w:rsidRPr="006D0D6E">
              <w:rPr>
                <w:rFonts w:ascii="Arial" w:eastAsia="Times New Roman" w:hAnsi="Arial" w:cs="Arial"/>
                <w:b/>
                <w:bCs/>
                <w:color w:val="000000"/>
                <w:sz w:val="16"/>
                <w:szCs w:val="16"/>
                <w:lang w:eastAsia="es-CO"/>
              </w:rPr>
              <w:t>Servicios de Regulación y Soporte</w:t>
            </w:r>
          </w:p>
        </w:tc>
        <w:tc>
          <w:tcPr>
            <w:tcW w:w="1493" w:type="pct"/>
            <w:vMerge w:val="restart"/>
            <w:tcBorders>
              <w:top w:val="nil"/>
              <w:left w:val="single" w:sz="4" w:space="0" w:color="auto"/>
              <w:bottom w:val="nil"/>
              <w:right w:val="single" w:sz="4" w:space="0" w:color="auto"/>
            </w:tcBorders>
            <w:shd w:val="clear" w:color="auto" w:fill="auto"/>
            <w:vAlign w:val="center"/>
            <w:hideMark/>
          </w:tcPr>
          <w:p w:rsidR="006D0D6E" w:rsidRPr="006D0D6E" w:rsidRDefault="006D0D6E" w:rsidP="006D0D6E">
            <w:pPr>
              <w:spacing w:line="240" w:lineRule="auto"/>
              <w:contextualSpacing w:val="0"/>
              <w:rPr>
                <w:rFonts w:ascii="Arial" w:eastAsia="Times New Roman" w:hAnsi="Arial" w:cs="Arial"/>
                <w:color w:val="000000"/>
                <w:sz w:val="16"/>
                <w:szCs w:val="16"/>
                <w:lang w:eastAsia="es-CO"/>
              </w:rPr>
            </w:pPr>
            <w:r w:rsidRPr="006D0D6E">
              <w:rPr>
                <w:rFonts w:ascii="Arial" w:eastAsia="Times New Roman" w:hAnsi="Arial" w:cs="Arial"/>
                <w:b/>
                <w:bCs/>
                <w:color w:val="000000"/>
                <w:sz w:val="16"/>
                <w:szCs w:val="16"/>
                <w:lang w:eastAsia="es-CO"/>
              </w:rPr>
              <w:t>De Regulación</w:t>
            </w:r>
            <w:r w:rsidRPr="006D0D6E">
              <w:rPr>
                <w:rFonts w:ascii="Arial" w:eastAsia="Times New Roman" w:hAnsi="Arial" w:cs="Arial"/>
                <w:color w:val="000000"/>
                <w:sz w:val="16"/>
                <w:szCs w:val="16"/>
                <w:lang w:eastAsia="es-CO"/>
              </w:rPr>
              <w:t xml:space="preserve">. Beneficios que se obtienen de la regulación de los procesos de los ecosistemas. Son la expresión del equilibrio en los procesos biológicos del ecosistema y el buen funcionamiento de los mismos. Son servicios y procesos ecológicos necesarios para el aprovisionamiento y existencia de los demás servicios ecosistémicos. Estos servicios se evidencian a escalas de tiempo y espacio mucho más amplias que los demás.     </w:t>
            </w:r>
            <w:r w:rsidRPr="006D0D6E">
              <w:rPr>
                <w:rFonts w:ascii="Arial" w:eastAsia="Times New Roman" w:hAnsi="Arial" w:cs="Arial"/>
                <w:b/>
                <w:bCs/>
                <w:color w:val="000000"/>
                <w:sz w:val="16"/>
                <w:szCs w:val="16"/>
                <w:lang w:eastAsia="es-CO"/>
              </w:rPr>
              <w:t xml:space="preserve">De Soporte. </w:t>
            </w:r>
            <w:r w:rsidRPr="006D0D6E">
              <w:rPr>
                <w:rFonts w:ascii="Arial" w:eastAsia="Times New Roman" w:hAnsi="Arial" w:cs="Arial"/>
                <w:color w:val="000000"/>
                <w:sz w:val="16"/>
                <w:szCs w:val="16"/>
                <w:lang w:eastAsia="es-CO"/>
              </w:rPr>
              <w:t>También llamados Servicios Base, son aquellos procesos ecológicos que ocurren dentro los ecosistemas y que benefician de forma indirecta. Sin ellos la naturaleza sería incapaz de ofrecer todos los demás bienes y servicios que afectan directa o indirectamente a la especie humana; es decir los servicios de Provisión, de Regulación y Culturales.</w:t>
            </w:r>
          </w:p>
        </w:tc>
        <w:tc>
          <w:tcPr>
            <w:tcW w:w="777" w:type="pct"/>
            <w:tcBorders>
              <w:top w:val="nil"/>
              <w:left w:val="nil"/>
              <w:bottom w:val="single" w:sz="4" w:space="0" w:color="auto"/>
              <w:right w:val="single" w:sz="4" w:space="0" w:color="auto"/>
            </w:tcBorders>
            <w:shd w:val="clear" w:color="auto" w:fill="auto"/>
            <w:vAlign w:val="center"/>
            <w:hideMark/>
          </w:tcPr>
          <w:p w:rsidR="006D0D6E" w:rsidRPr="006D0D6E" w:rsidRDefault="006D0D6E" w:rsidP="006D0D6E">
            <w:pPr>
              <w:spacing w:line="240" w:lineRule="auto"/>
              <w:contextualSpacing w:val="0"/>
              <w:jc w:val="left"/>
              <w:rPr>
                <w:rFonts w:ascii="Arial" w:eastAsia="Times New Roman" w:hAnsi="Arial" w:cs="Arial"/>
                <w:color w:val="000000"/>
                <w:sz w:val="16"/>
                <w:szCs w:val="16"/>
                <w:lang w:eastAsia="es-CO"/>
              </w:rPr>
            </w:pPr>
            <w:r w:rsidRPr="006D0D6E">
              <w:rPr>
                <w:rFonts w:ascii="Arial" w:eastAsia="Times New Roman" w:hAnsi="Arial" w:cs="Arial"/>
                <w:color w:val="000000"/>
                <w:sz w:val="16"/>
                <w:szCs w:val="16"/>
                <w:lang w:eastAsia="es-CO"/>
              </w:rPr>
              <w:t>Alteración del régimen de escorrentía</w:t>
            </w:r>
          </w:p>
        </w:tc>
        <w:tc>
          <w:tcPr>
            <w:tcW w:w="597" w:type="pct"/>
            <w:tcBorders>
              <w:top w:val="nil"/>
              <w:left w:val="nil"/>
              <w:bottom w:val="single" w:sz="4" w:space="0" w:color="auto"/>
              <w:right w:val="single" w:sz="4" w:space="0" w:color="auto"/>
            </w:tcBorders>
            <w:shd w:val="clear" w:color="000000" w:fill="FFFFFF"/>
            <w:noWrap/>
            <w:vAlign w:val="bottom"/>
            <w:hideMark/>
          </w:tcPr>
          <w:p w:rsidR="006D0D6E" w:rsidRPr="006D0D6E" w:rsidRDefault="006D0D6E" w:rsidP="006D0D6E">
            <w:pPr>
              <w:spacing w:line="240" w:lineRule="auto"/>
              <w:contextualSpacing w:val="0"/>
              <w:jc w:val="right"/>
              <w:rPr>
                <w:rFonts w:ascii="Arial" w:eastAsia="Times New Roman" w:hAnsi="Arial" w:cs="Arial"/>
                <w:sz w:val="16"/>
                <w:szCs w:val="16"/>
                <w:lang w:eastAsia="es-CO"/>
              </w:rPr>
            </w:pPr>
            <w:r w:rsidRPr="006D0D6E">
              <w:rPr>
                <w:rFonts w:ascii="Arial" w:eastAsia="Times New Roman" w:hAnsi="Arial" w:cs="Arial"/>
                <w:sz w:val="16"/>
                <w:szCs w:val="16"/>
                <w:lang w:eastAsia="es-CO"/>
              </w:rPr>
              <w:t>102.624.574</w:t>
            </w:r>
          </w:p>
        </w:tc>
        <w:tc>
          <w:tcPr>
            <w:tcW w:w="956" w:type="pct"/>
            <w:tcBorders>
              <w:top w:val="nil"/>
              <w:left w:val="nil"/>
              <w:bottom w:val="single" w:sz="4" w:space="0" w:color="auto"/>
              <w:right w:val="single" w:sz="4" w:space="0" w:color="auto"/>
            </w:tcBorders>
            <w:shd w:val="clear" w:color="000000" w:fill="FFFFFF"/>
            <w:vAlign w:val="center"/>
            <w:hideMark/>
          </w:tcPr>
          <w:p w:rsidR="006D0D6E" w:rsidRPr="006D0D6E" w:rsidRDefault="006D0D6E" w:rsidP="006D0D6E">
            <w:pPr>
              <w:spacing w:line="240" w:lineRule="auto"/>
              <w:contextualSpacing w:val="0"/>
              <w:jc w:val="center"/>
              <w:rPr>
                <w:rFonts w:ascii="Arial" w:eastAsia="Times New Roman" w:hAnsi="Arial" w:cs="Arial"/>
                <w:sz w:val="16"/>
                <w:szCs w:val="16"/>
                <w:lang w:eastAsia="es-CO"/>
              </w:rPr>
            </w:pPr>
            <w:r w:rsidRPr="006D0D6E">
              <w:rPr>
                <w:rFonts w:ascii="Arial" w:eastAsia="Times New Roman" w:hAnsi="Arial" w:cs="Arial"/>
                <w:sz w:val="16"/>
                <w:szCs w:val="16"/>
                <w:lang w:eastAsia="es-CO"/>
              </w:rPr>
              <w:t>Compensacion Forestal + Compensacion por Pérdida Biodiversidad - Recuperacion de la regulación hídrica</w:t>
            </w:r>
          </w:p>
        </w:tc>
        <w:tc>
          <w:tcPr>
            <w:tcW w:w="641" w:type="pct"/>
            <w:tcBorders>
              <w:top w:val="nil"/>
              <w:left w:val="nil"/>
              <w:bottom w:val="single" w:sz="4" w:space="0" w:color="auto"/>
              <w:right w:val="single" w:sz="4" w:space="0" w:color="auto"/>
            </w:tcBorders>
            <w:shd w:val="clear" w:color="000000" w:fill="FFFFFF"/>
            <w:noWrap/>
            <w:vAlign w:val="bottom"/>
            <w:hideMark/>
          </w:tcPr>
          <w:p w:rsidR="006D0D6E" w:rsidRPr="006D0D6E" w:rsidRDefault="006D0D6E" w:rsidP="006D0D6E">
            <w:pPr>
              <w:spacing w:line="240" w:lineRule="auto"/>
              <w:contextualSpacing w:val="0"/>
              <w:jc w:val="right"/>
              <w:rPr>
                <w:rFonts w:ascii="Arial" w:eastAsia="Times New Roman" w:hAnsi="Arial" w:cs="Arial"/>
                <w:sz w:val="16"/>
                <w:szCs w:val="16"/>
                <w:lang w:eastAsia="es-CO"/>
              </w:rPr>
            </w:pPr>
            <w:r w:rsidRPr="006D0D6E">
              <w:rPr>
                <w:rFonts w:ascii="Arial" w:eastAsia="Times New Roman" w:hAnsi="Arial" w:cs="Arial"/>
                <w:sz w:val="16"/>
                <w:szCs w:val="16"/>
                <w:lang w:eastAsia="es-CO"/>
              </w:rPr>
              <w:t>738.956.302</w:t>
            </w:r>
          </w:p>
        </w:tc>
      </w:tr>
      <w:tr w:rsidR="006D0D6E" w:rsidRPr="006D0D6E" w:rsidTr="006D0D6E">
        <w:trPr>
          <w:trHeight w:val="20"/>
        </w:trPr>
        <w:tc>
          <w:tcPr>
            <w:tcW w:w="536" w:type="pct"/>
            <w:vMerge/>
            <w:tcBorders>
              <w:top w:val="nil"/>
              <w:left w:val="single" w:sz="4" w:space="0" w:color="auto"/>
              <w:bottom w:val="nil"/>
              <w:right w:val="single" w:sz="4" w:space="0" w:color="auto"/>
            </w:tcBorders>
            <w:vAlign w:val="center"/>
            <w:hideMark/>
          </w:tcPr>
          <w:p w:rsidR="006D0D6E" w:rsidRPr="006D0D6E" w:rsidRDefault="006D0D6E" w:rsidP="006D0D6E">
            <w:pPr>
              <w:spacing w:line="240" w:lineRule="auto"/>
              <w:contextualSpacing w:val="0"/>
              <w:jc w:val="left"/>
              <w:rPr>
                <w:rFonts w:ascii="Arial" w:eastAsia="Times New Roman" w:hAnsi="Arial" w:cs="Arial"/>
                <w:b/>
                <w:bCs/>
                <w:color w:val="000000"/>
                <w:sz w:val="16"/>
                <w:szCs w:val="16"/>
                <w:lang w:eastAsia="es-CO"/>
              </w:rPr>
            </w:pPr>
          </w:p>
        </w:tc>
        <w:tc>
          <w:tcPr>
            <w:tcW w:w="1493" w:type="pct"/>
            <w:vMerge/>
            <w:tcBorders>
              <w:top w:val="nil"/>
              <w:left w:val="single" w:sz="4" w:space="0" w:color="auto"/>
              <w:bottom w:val="nil"/>
              <w:right w:val="single" w:sz="4" w:space="0" w:color="auto"/>
            </w:tcBorders>
            <w:vAlign w:val="center"/>
            <w:hideMark/>
          </w:tcPr>
          <w:p w:rsidR="006D0D6E" w:rsidRPr="006D0D6E" w:rsidRDefault="006D0D6E" w:rsidP="006D0D6E">
            <w:pPr>
              <w:spacing w:line="240" w:lineRule="auto"/>
              <w:contextualSpacing w:val="0"/>
              <w:jc w:val="left"/>
              <w:rPr>
                <w:rFonts w:ascii="Arial" w:eastAsia="Times New Roman" w:hAnsi="Arial" w:cs="Arial"/>
                <w:color w:val="000000"/>
                <w:sz w:val="16"/>
                <w:szCs w:val="16"/>
                <w:lang w:eastAsia="es-CO"/>
              </w:rPr>
            </w:pPr>
          </w:p>
        </w:tc>
        <w:tc>
          <w:tcPr>
            <w:tcW w:w="777" w:type="pct"/>
            <w:tcBorders>
              <w:top w:val="nil"/>
              <w:left w:val="nil"/>
              <w:bottom w:val="single" w:sz="4" w:space="0" w:color="auto"/>
              <w:right w:val="single" w:sz="4" w:space="0" w:color="auto"/>
            </w:tcBorders>
            <w:shd w:val="clear" w:color="auto" w:fill="auto"/>
            <w:vAlign w:val="center"/>
            <w:hideMark/>
          </w:tcPr>
          <w:p w:rsidR="006D0D6E" w:rsidRPr="006D0D6E" w:rsidRDefault="006D0D6E" w:rsidP="006D0D6E">
            <w:pPr>
              <w:spacing w:line="240" w:lineRule="auto"/>
              <w:contextualSpacing w:val="0"/>
              <w:jc w:val="left"/>
              <w:rPr>
                <w:rFonts w:ascii="Arial" w:eastAsia="Times New Roman" w:hAnsi="Arial" w:cs="Arial"/>
                <w:color w:val="000000"/>
                <w:sz w:val="16"/>
                <w:szCs w:val="16"/>
                <w:lang w:eastAsia="es-CO"/>
              </w:rPr>
            </w:pPr>
            <w:r w:rsidRPr="006D0D6E">
              <w:rPr>
                <w:rFonts w:ascii="Arial" w:eastAsia="Times New Roman" w:hAnsi="Arial" w:cs="Arial"/>
                <w:color w:val="000000"/>
                <w:sz w:val="16"/>
                <w:szCs w:val="16"/>
                <w:lang w:eastAsia="es-CO"/>
              </w:rPr>
              <w:t>Alteración del régimen natural de retención de sedimentos</w:t>
            </w:r>
          </w:p>
        </w:tc>
        <w:tc>
          <w:tcPr>
            <w:tcW w:w="597" w:type="pct"/>
            <w:tcBorders>
              <w:top w:val="nil"/>
              <w:left w:val="nil"/>
              <w:bottom w:val="single" w:sz="4" w:space="0" w:color="auto"/>
              <w:right w:val="single" w:sz="4" w:space="0" w:color="auto"/>
            </w:tcBorders>
            <w:shd w:val="clear" w:color="000000" w:fill="FFFFFF"/>
            <w:noWrap/>
            <w:vAlign w:val="bottom"/>
            <w:hideMark/>
          </w:tcPr>
          <w:p w:rsidR="006D0D6E" w:rsidRPr="006D0D6E" w:rsidRDefault="006D0D6E" w:rsidP="006D0D6E">
            <w:pPr>
              <w:spacing w:line="240" w:lineRule="auto"/>
              <w:contextualSpacing w:val="0"/>
              <w:jc w:val="right"/>
              <w:rPr>
                <w:rFonts w:ascii="Arial" w:eastAsia="Times New Roman" w:hAnsi="Arial" w:cs="Arial"/>
                <w:sz w:val="16"/>
                <w:szCs w:val="16"/>
                <w:lang w:eastAsia="es-CO"/>
              </w:rPr>
            </w:pPr>
            <w:r w:rsidRPr="006D0D6E">
              <w:rPr>
                <w:rFonts w:ascii="Arial" w:eastAsia="Times New Roman" w:hAnsi="Arial" w:cs="Arial"/>
                <w:sz w:val="16"/>
                <w:szCs w:val="16"/>
                <w:lang w:eastAsia="es-CO"/>
              </w:rPr>
              <w:t>77.740.000</w:t>
            </w:r>
          </w:p>
        </w:tc>
        <w:tc>
          <w:tcPr>
            <w:tcW w:w="956" w:type="pct"/>
            <w:tcBorders>
              <w:top w:val="nil"/>
              <w:left w:val="nil"/>
              <w:bottom w:val="single" w:sz="4" w:space="0" w:color="auto"/>
              <w:right w:val="single" w:sz="4" w:space="0" w:color="auto"/>
            </w:tcBorders>
            <w:shd w:val="clear" w:color="000000" w:fill="FFFFFF"/>
            <w:vAlign w:val="center"/>
            <w:hideMark/>
          </w:tcPr>
          <w:p w:rsidR="006D0D6E" w:rsidRPr="006D0D6E" w:rsidRDefault="006D0D6E" w:rsidP="006D0D6E">
            <w:pPr>
              <w:spacing w:line="240" w:lineRule="auto"/>
              <w:contextualSpacing w:val="0"/>
              <w:jc w:val="center"/>
              <w:rPr>
                <w:rFonts w:ascii="Arial" w:eastAsia="Times New Roman" w:hAnsi="Arial" w:cs="Arial"/>
                <w:sz w:val="16"/>
                <w:szCs w:val="16"/>
                <w:lang w:eastAsia="es-CO"/>
              </w:rPr>
            </w:pPr>
            <w:r w:rsidRPr="006D0D6E">
              <w:rPr>
                <w:rFonts w:ascii="Arial" w:eastAsia="Times New Roman" w:hAnsi="Arial" w:cs="Arial"/>
                <w:sz w:val="16"/>
                <w:szCs w:val="16"/>
                <w:lang w:eastAsia="es-CO"/>
              </w:rPr>
              <w:t>Compensacion Forestal + Compensacion por Pérdida Biodiversidad- Recuperacion de la capacidad de retención de sedimentos</w:t>
            </w:r>
          </w:p>
        </w:tc>
        <w:tc>
          <w:tcPr>
            <w:tcW w:w="641" w:type="pct"/>
            <w:tcBorders>
              <w:top w:val="nil"/>
              <w:left w:val="nil"/>
              <w:bottom w:val="single" w:sz="4" w:space="0" w:color="auto"/>
              <w:right w:val="single" w:sz="4" w:space="0" w:color="auto"/>
            </w:tcBorders>
            <w:shd w:val="clear" w:color="000000" w:fill="FFFFFF"/>
            <w:noWrap/>
            <w:vAlign w:val="bottom"/>
            <w:hideMark/>
          </w:tcPr>
          <w:p w:rsidR="006D0D6E" w:rsidRPr="006D0D6E" w:rsidRDefault="006D0D6E" w:rsidP="006D0D6E">
            <w:pPr>
              <w:spacing w:line="240" w:lineRule="auto"/>
              <w:contextualSpacing w:val="0"/>
              <w:jc w:val="right"/>
              <w:rPr>
                <w:rFonts w:ascii="Arial" w:eastAsia="Times New Roman" w:hAnsi="Arial" w:cs="Arial"/>
                <w:sz w:val="16"/>
                <w:szCs w:val="16"/>
                <w:lang w:eastAsia="es-CO"/>
              </w:rPr>
            </w:pPr>
            <w:r w:rsidRPr="006D0D6E">
              <w:rPr>
                <w:rFonts w:ascii="Arial" w:eastAsia="Times New Roman" w:hAnsi="Arial" w:cs="Arial"/>
                <w:sz w:val="16"/>
                <w:szCs w:val="16"/>
                <w:lang w:eastAsia="es-CO"/>
              </w:rPr>
              <w:t>576.249.472</w:t>
            </w:r>
          </w:p>
        </w:tc>
      </w:tr>
      <w:tr w:rsidR="006D0D6E" w:rsidRPr="006D0D6E" w:rsidTr="006D0D6E">
        <w:trPr>
          <w:trHeight w:val="20"/>
        </w:trPr>
        <w:tc>
          <w:tcPr>
            <w:tcW w:w="536" w:type="pct"/>
            <w:vMerge/>
            <w:tcBorders>
              <w:top w:val="nil"/>
              <w:left w:val="single" w:sz="4" w:space="0" w:color="auto"/>
              <w:bottom w:val="nil"/>
              <w:right w:val="single" w:sz="4" w:space="0" w:color="auto"/>
            </w:tcBorders>
            <w:vAlign w:val="center"/>
            <w:hideMark/>
          </w:tcPr>
          <w:p w:rsidR="006D0D6E" w:rsidRPr="006D0D6E" w:rsidRDefault="006D0D6E" w:rsidP="006D0D6E">
            <w:pPr>
              <w:spacing w:line="240" w:lineRule="auto"/>
              <w:contextualSpacing w:val="0"/>
              <w:jc w:val="left"/>
              <w:rPr>
                <w:rFonts w:ascii="Arial" w:eastAsia="Times New Roman" w:hAnsi="Arial" w:cs="Arial"/>
                <w:b/>
                <w:bCs/>
                <w:color w:val="000000"/>
                <w:sz w:val="16"/>
                <w:szCs w:val="16"/>
                <w:lang w:eastAsia="es-CO"/>
              </w:rPr>
            </w:pPr>
          </w:p>
        </w:tc>
        <w:tc>
          <w:tcPr>
            <w:tcW w:w="1493" w:type="pct"/>
            <w:vMerge/>
            <w:tcBorders>
              <w:top w:val="nil"/>
              <w:left w:val="single" w:sz="4" w:space="0" w:color="auto"/>
              <w:bottom w:val="nil"/>
              <w:right w:val="single" w:sz="4" w:space="0" w:color="auto"/>
            </w:tcBorders>
            <w:vAlign w:val="center"/>
            <w:hideMark/>
          </w:tcPr>
          <w:p w:rsidR="006D0D6E" w:rsidRPr="006D0D6E" w:rsidRDefault="006D0D6E" w:rsidP="006D0D6E">
            <w:pPr>
              <w:spacing w:line="240" w:lineRule="auto"/>
              <w:contextualSpacing w:val="0"/>
              <w:jc w:val="left"/>
              <w:rPr>
                <w:rFonts w:ascii="Arial" w:eastAsia="Times New Roman" w:hAnsi="Arial" w:cs="Arial"/>
                <w:color w:val="000000"/>
                <w:sz w:val="16"/>
                <w:szCs w:val="16"/>
                <w:lang w:eastAsia="es-CO"/>
              </w:rPr>
            </w:pPr>
          </w:p>
        </w:tc>
        <w:tc>
          <w:tcPr>
            <w:tcW w:w="777" w:type="pct"/>
            <w:tcBorders>
              <w:top w:val="nil"/>
              <w:left w:val="nil"/>
              <w:bottom w:val="single" w:sz="4" w:space="0" w:color="auto"/>
              <w:right w:val="single" w:sz="4" w:space="0" w:color="auto"/>
            </w:tcBorders>
            <w:shd w:val="clear" w:color="auto" w:fill="auto"/>
            <w:vAlign w:val="center"/>
            <w:hideMark/>
          </w:tcPr>
          <w:p w:rsidR="006D0D6E" w:rsidRPr="006D0D6E" w:rsidRDefault="006D0D6E" w:rsidP="006D0D6E">
            <w:pPr>
              <w:spacing w:line="240" w:lineRule="auto"/>
              <w:contextualSpacing w:val="0"/>
              <w:jc w:val="left"/>
              <w:rPr>
                <w:rFonts w:ascii="Arial" w:eastAsia="Times New Roman" w:hAnsi="Arial" w:cs="Arial"/>
                <w:color w:val="000000"/>
                <w:sz w:val="16"/>
                <w:szCs w:val="16"/>
                <w:lang w:eastAsia="es-CO"/>
              </w:rPr>
            </w:pPr>
            <w:r w:rsidRPr="006D0D6E">
              <w:rPr>
                <w:rFonts w:ascii="Arial" w:eastAsia="Times New Roman" w:hAnsi="Arial" w:cs="Arial"/>
                <w:color w:val="000000"/>
                <w:sz w:val="16"/>
                <w:szCs w:val="16"/>
                <w:lang w:eastAsia="es-CO"/>
              </w:rPr>
              <w:t>Disminución de la capacidad de captura de CO2</w:t>
            </w:r>
          </w:p>
        </w:tc>
        <w:tc>
          <w:tcPr>
            <w:tcW w:w="597" w:type="pct"/>
            <w:tcBorders>
              <w:top w:val="nil"/>
              <w:left w:val="nil"/>
              <w:bottom w:val="single" w:sz="4" w:space="0" w:color="auto"/>
              <w:right w:val="single" w:sz="4" w:space="0" w:color="auto"/>
            </w:tcBorders>
            <w:shd w:val="clear" w:color="000000" w:fill="FFFFFF"/>
            <w:noWrap/>
            <w:vAlign w:val="bottom"/>
            <w:hideMark/>
          </w:tcPr>
          <w:p w:rsidR="006D0D6E" w:rsidRPr="006D0D6E" w:rsidRDefault="006D0D6E" w:rsidP="006D0D6E">
            <w:pPr>
              <w:spacing w:line="240" w:lineRule="auto"/>
              <w:contextualSpacing w:val="0"/>
              <w:jc w:val="right"/>
              <w:rPr>
                <w:rFonts w:ascii="Arial" w:eastAsia="Times New Roman" w:hAnsi="Arial" w:cs="Arial"/>
                <w:sz w:val="16"/>
                <w:szCs w:val="16"/>
                <w:lang w:eastAsia="es-CO"/>
              </w:rPr>
            </w:pPr>
            <w:r w:rsidRPr="006D0D6E">
              <w:rPr>
                <w:rFonts w:ascii="Arial" w:eastAsia="Times New Roman" w:hAnsi="Arial" w:cs="Arial"/>
                <w:sz w:val="16"/>
                <w:szCs w:val="16"/>
                <w:lang w:eastAsia="es-CO"/>
              </w:rPr>
              <w:t>5.053.782</w:t>
            </w:r>
          </w:p>
        </w:tc>
        <w:tc>
          <w:tcPr>
            <w:tcW w:w="956" w:type="pct"/>
            <w:tcBorders>
              <w:top w:val="nil"/>
              <w:left w:val="nil"/>
              <w:bottom w:val="single" w:sz="4" w:space="0" w:color="auto"/>
              <w:right w:val="single" w:sz="4" w:space="0" w:color="auto"/>
            </w:tcBorders>
            <w:shd w:val="clear" w:color="000000" w:fill="FFFFFF"/>
            <w:vAlign w:val="center"/>
            <w:hideMark/>
          </w:tcPr>
          <w:p w:rsidR="006D0D6E" w:rsidRPr="006D0D6E" w:rsidRDefault="006D0D6E" w:rsidP="006D0D6E">
            <w:pPr>
              <w:spacing w:line="240" w:lineRule="auto"/>
              <w:contextualSpacing w:val="0"/>
              <w:jc w:val="center"/>
              <w:rPr>
                <w:rFonts w:ascii="Arial" w:eastAsia="Times New Roman" w:hAnsi="Arial" w:cs="Arial"/>
                <w:sz w:val="16"/>
                <w:szCs w:val="16"/>
                <w:lang w:eastAsia="es-CO"/>
              </w:rPr>
            </w:pPr>
            <w:r w:rsidRPr="006D0D6E">
              <w:rPr>
                <w:rFonts w:ascii="Arial" w:eastAsia="Times New Roman" w:hAnsi="Arial" w:cs="Arial"/>
                <w:sz w:val="16"/>
                <w:szCs w:val="16"/>
                <w:lang w:eastAsia="es-CO"/>
              </w:rPr>
              <w:t>Compensacion Forestal + Compensacion por Pérdida Biodiversidad- Recuperacion de la captura de CO2</w:t>
            </w:r>
          </w:p>
        </w:tc>
        <w:tc>
          <w:tcPr>
            <w:tcW w:w="641" w:type="pct"/>
            <w:tcBorders>
              <w:top w:val="nil"/>
              <w:left w:val="nil"/>
              <w:bottom w:val="single" w:sz="4" w:space="0" w:color="auto"/>
              <w:right w:val="single" w:sz="4" w:space="0" w:color="auto"/>
            </w:tcBorders>
            <w:shd w:val="clear" w:color="000000" w:fill="FFFFFF"/>
            <w:noWrap/>
            <w:vAlign w:val="bottom"/>
            <w:hideMark/>
          </w:tcPr>
          <w:p w:rsidR="006D0D6E" w:rsidRPr="006D0D6E" w:rsidRDefault="006D0D6E" w:rsidP="006D0D6E">
            <w:pPr>
              <w:spacing w:line="240" w:lineRule="auto"/>
              <w:contextualSpacing w:val="0"/>
              <w:jc w:val="right"/>
              <w:rPr>
                <w:rFonts w:ascii="Arial" w:eastAsia="Times New Roman" w:hAnsi="Arial" w:cs="Arial"/>
                <w:sz w:val="16"/>
                <w:szCs w:val="16"/>
                <w:lang w:eastAsia="es-CO"/>
              </w:rPr>
            </w:pPr>
            <w:r w:rsidRPr="006D0D6E">
              <w:rPr>
                <w:rFonts w:ascii="Arial" w:eastAsia="Times New Roman" w:hAnsi="Arial" w:cs="Arial"/>
                <w:sz w:val="16"/>
                <w:szCs w:val="16"/>
                <w:lang w:eastAsia="es-CO"/>
              </w:rPr>
              <w:t>36.390.156</w:t>
            </w:r>
          </w:p>
        </w:tc>
      </w:tr>
      <w:tr w:rsidR="006D0D6E" w:rsidRPr="006D0D6E" w:rsidTr="006D0D6E">
        <w:trPr>
          <w:trHeight w:val="20"/>
        </w:trPr>
        <w:tc>
          <w:tcPr>
            <w:tcW w:w="536" w:type="pct"/>
            <w:vMerge/>
            <w:tcBorders>
              <w:top w:val="nil"/>
              <w:left w:val="single" w:sz="4" w:space="0" w:color="auto"/>
              <w:bottom w:val="nil"/>
              <w:right w:val="single" w:sz="4" w:space="0" w:color="auto"/>
            </w:tcBorders>
            <w:vAlign w:val="center"/>
            <w:hideMark/>
          </w:tcPr>
          <w:p w:rsidR="006D0D6E" w:rsidRPr="006D0D6E" w:rsidRDefault="006D0D6E" w:rsidP="006D0D6E">
            <w:pPr>
              <w:spacing w:line="240" w:lineRule="auto"/>
              <w:contextualSpacing w:val="0"/>
              <w:jc w:val="left"/>
              <w:rPr>
                <w:rFonts w:ascii="Arial" w:eastAsia="Times New Roman" w:hAnsi="Arial" w:cs="Arial"/>
                <w:b/>
                <w:bCs/>
                <w:color w:val="000000"/>
                <w:sz w:val="16"/>
                <w:szCs w:val="16"/>
                <w:lang w:eastAsia="es-CO"/>
              </w:rPr>
            </w:pPr>
          </w:p>
        </w:tc>
        <w:tc>
          <w:tcPr>
            <w:tcW w:w="1493" w:type="pct"/>
            <w:vMerge/>
            <w:tcBorders>
              <w:top w:val="nil"/>
              <w:left w:val="single" w:sz="4" w:space="0" w:color="auto"/>
              <w:bottom w:val="nil"/>
              <w:right w:val="single" w:sz="4" w:space="0" w:color="auto"/>
            </w:tcBorders>
            <w:vAlign w:val="center"/>
            <w:hideMark/>
          </w:tcPr>
          <w:p w:rsidR="006D0D6E" w:rsidRPr="006D0D6E" w:rsidRDefault="006D0D6E" w:rsidP="006D0D6E">
            <w:pPr>
              <w:spacing w:line="240" w:lineRule="auto"/>
              <w:contextualSpacing w:val="0"/>
              <w:jc w:val="left"/>
              <w:rPr>
                <w:rFonts w:ascii="Arial" w:eastAsia="Times New Roman" w:hAnsi="Arial" w:cs="Arial"/>
                <w:color w:val="000000"/>
                <w:sz w:val="16"/>
                <w:szCs w:val="16"/>
                <w:lang w:eastAsia="es-CO"/>
              </w:rPr>
            </w:pPr>
          </w:p>
        </w:tc>
        <w:tc>
          <w:tcPr>
            <w:tcW w:w="777" w:type="pct"/>
            <w:tcBorders>
              <w:top w:val="nil"/>
              <w:left w:val="nil"/>
              <w:bottom w:val="single" w:sz="4" w:space="0" w:color="auto"/>
              <w:right w:val="single" w:sz="4" w:space="0" w:color="auto"/>
            </w:tcBorders>
            <w:shd w:val="clear" w:color="auto" w:fill="auto"/>
            <w:vAlign w:val="center"/>
            <w:hideMark/>
          </w:tcPr>
          <w:p w:rsidR="006D0D6E" w:rsidRPr="006D0D6E" w:rsidRDefault="006D0D6E" w:rsidP="006D0D6E">
            <w:pPr>
              <w:spacing w:line="240" w:lineRule="auto"/>
              <w:contextualSpacing w:val="0"/>
              <w:jc w:val="left"/>
              <w:rPr>
                <w:rFonts w:ascii="Arial" w:eastAsia="Times New Roman" w:hAnsi="Arial" w:cs="Arial"/>
                <w:color w:val="000000"/>
                <w:sz w:val="16"/>
                <w:szCs w:val="16"/>
                <w:lang w:eastAsia="es-CO"/>
              </w:rPr>
            </w:pPr>
            <w:r w:rsidRPr="006D0D6E">
              <w:rPr>
                <w:rFonts w:ascii="Arial" w:eastAsia="Times New Roman" w:hAnsi="Arial" w:cs="Arial"/>
                <w:color w:val="000000"/>
                <w:sz w:val="16"/>
                <w:szCs w:val="16"/>
                <w:lang w:eastAsia="es-CO"/>
              </w:rPr>
              <w:t>Recurso Boscoso</w:t>
            </w:r>
          </w:p>
        </w:tc>
        <w:tc>
          <w:tcPr>
            <w:tcW w:w="597" w:type="pct"/>
            <w:tcBorders>
              <w:top w:val="nil"/>
              <w:left w:val="nil"/>
              <w:bottom w:val="single" w:sz="4" w:space="0" w:color="auto"/>
              <w:right w:val="single" w:sz="4" w:space="0" w:color="auto"/>
            </w:tcBorders>
            <w:shd w:val="clear" w:color="000000" w:fill="FFFFFF"/>
            <w:noWrap/>
            <w:vAlign w:val="bottom"/>
            <w:hideMark/>
          </w:tcPr>
          <w:p w:rsidR="006D0D6E" w:rsidRPr="006D0D6E" w:rsidRDefault="006D0D6E" w:rsidP="006D0D6E">
            <w:pPr>
              <w:spacing w:line="240" w:lineRule="auto"/>
              <w:contextualSpacing w:val="0"/>
              <w:jc w:val="right"/>
              <w:rPr>
                <w:rFonts w:ascii="Arial" w:eastAsia="Times New Roman" w:hAnsi="Arial" w:cs="Arial"/>
                <w:sz w:val="16"/>
                <w:szCs w:val="16"/>
                <w:lang w:eastAsia="es-CO"/>
              </w:rPr>
            </w:pPr>
            <w:r w:rsidRPr="006D0D6E">
              <w:rPr>
                <w:rFonts w:ascii="Arial" w:eastAsia="Times New Roman" w:hAnsi="Arial" w:cs="Arial"/>
                <w:sz w:val="16"/>
                <w:szCs w:val="16"/>
                <w:lang w:eastAsia="es-CO"/>
              </w:rPr>
              <w:t>7.214.843</w:t>
            </w:r>
          </w:p>
        </w:tc>
        <w:tc>
          <w:tcPr>
            <w:tcW w:w="956" w:type="pct"/>
            <w:tcBorders>
              <w:top w:val="nil"/>
              <w:left w:val="nil"/>
              <w:bottom w:val="single" w:sz="4" w:space="0" w:color="auto"/>
              <w:right w:val="single" w:sz="4" w:space="0" w:color="auto"/>
            </w:tcBorders>
            <w:shd w:val="clear" w:color="auto" w:fill="auto"/>
            <w:vAlign w:val="center"/>
            <w:hideMark/>
          </w:tcPr>
          <w:p w:rsidR="006D0D6E" w:rsidRPr="006D0D6E" w:rsidRDefault="006D0D6E" w:rsidP="006D0D6E">
            <w:pPr>
              <w:spacing w:line="240" w:lineRule="auto"/>
              <w:contextualSpacing w:val="0"/>
              <w:jc w:val="left"/>
              <w:rPr>
                <w:rFonts w:ascii="Arial" w:eastAsia="Times New Roman" w:hAnsi="Arial" w:cs="Arial"/>
                <w:color w:val="000000"/>
                <w:sz w:val="16"/>
                <w:szCs w:val="16"/>
                <w:lang w:eastAsia="es-CO"/>
              </w:rPr>
            </w:pPr>
            <w:r w:rsidRPr="006D0D6E">
              <w:rPr>
                <w:rFonts w:ascii="Arial" w:eastAsia="Times New Roman" w:hAnsi="Arial" w:cs="Arial"/>
                <w:color w:val="000000"/>
                <w:sz w:val="16"/>
                <w:szCs w:val="16"/>
                <w:lang w:eastAsia="es-CO"/>
              </w:rPr>
              <w:t> </w:t>
            </w:r>
          </w:p>
        </w:tc>
        <w:tc>
          <w:tcPr>
            <w:tcW w:w="641" w:type="pct"/>
            <w:tcBorders>
              <w:top w:val="nil"/>
              <w:left w:val="nil"/>
              <w:bottom w:val="single" w:sz="4" w:space="0" w:color="auto"/>
              <w:right w:val="single" w:sz="4" w:space="0" w:color="auto"/>
            </w:tcBorders>
            <w:shd w:val="clear" w:color="000000" w:fill="FFFFFF"/>
            <w:noWrap/>
            <w:vAlign w:val="bottom"/>
            <w:hideMark/>
          </w:tcPr>
          <w:p w:rsidR="006D0D6E" w:rsidRPr="006D0D6E" w:rsidRDefault="006D0D6E" w:rsidP="006D0D6E">
            <w:pPr>
              <w:spacing w:line="240" w:lineRule="auto"/>
              <w:contextualSpacing w:val="0"/>
              <w:jc w:val="right"/>
              <w:rPr>
                <w:rFonts w:ascii="Arial" w:eastAsia="Times New Roman" w:hAnsi="Arial" w:cs="Arial"/>
                <w:sz w:val="16"/>
                <w:szCs w:val="16"/>
                <w:lang w:eastAsia="es-CO"/>
              </w:rPr>
            </w:pPr>
            <w:r w:rsidRPr="006D0D6E">
              <w:rPr>
                <w:rFonts w:ascii="Arial" w:eastAsia="Times New Roman" w:hAnsi="Arial" w:cs="Arial"/>
                <w:sz w:val="16"/>
                <w:szCs w:val="16"/>
                <w:lang w:eastAsia="es-CO"/>
              </w:rPr>
              <w:t>98.937.505</w:t>
            </w:r>
          </w:p>
        </w:tc>
      </w:tr>
      <w:tr w:rsidR="006D0D6E" w:rsidRPr="006D0D6E" w:rsidTr="006D0D6E">
        <w:trPr>
          <w:trHeight w:val="20"/>
        </w:trPr>
        <w:tc>
          <w:tcPr>
            <w:tcW w:w="280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D0D6E" w:rsidRPr="006D0D6E" w:rsidRDefault="006D0D6E" w:rsidP="006D0D6E">
            <w:pPr>
              <w:spacing w:line="240" w:lineRule="auto"/>
              <w:contextualSpacing w:val="0"/>
              <w:jc w:val="center"/>
              <w:rPr>
                <w:rFonts w:ascii="Arial" w:eastAsia="Times New Roman" w:hAnsi="Arial" w:cs="Arial"/>
                <w:b/>
                <w:bCs/>
                <w:color w:val="000000"/>
                <w:sz w:val="16"/>
                <w:szCs w:val="16"/>
                <w:lang w:eastAsia="es-CO"/>
              </w:rPr>
            </w:pPr>
            <w:r w:rsidRPr="006D0D6E">
              <w:rPr>
                <w:rFonts w:ascii="Arial" w:eastAsia="Times New Roman" w:hAnsi="Arial" w:cs="Arial"/>
                <w:b/>
                <w:bCs/>
                <w:color w:val="000000"/>
                <w:sz w:val="16"/>
                <w:szCs w:val="16"/>
                <w:lang w:eastAsia="es-CO"/>
              </w:rPr>
              <w:t>Total Servicios de Regulación y Soporte</w:t>
            </w:r>
          </w:p>
        </w:tc>
        <w:tc>
          <w:tcPr>
            <w:tcW w:w="597" w:type="pct"/>
            <w:tcBorders>
              <w:top w:val="nil"/>
              <w:left w:val="nil"/>
              <w:bottom w:val="single" w:sz="4" w:space="0" w:color="auto"/>
              <w:right w:val="single" w:sz="4" w:space="0" w:color="auto"/>
            </w:tcBorders>
            <w:shd w:val="clear" w:color="000000" w:fill="FFFFFF"/>
            <w:noWrap/>
            <w:vAlign w:val="bottom"/>
            <w:hideMark/>
          </w:tcPr>
          <w:p w:rsidR="006D0D6E" w:rsidRPr="006D0D6E" w:rsidRDefault="006D0D6E" w:rsidP="006D0D6E">
            <w:pPr>
              <w:spacing w:line="240" w:lineRule="auto"/>
              <w:contextualSpacing w:val="0"/>
              <w:jc w:val="right"/>
              <w:rPr>
                <w:rFonts w:ascii="Arial" w:eastAsia="Times New Roman" w:hAnsi="Arial" w:cs="Arial"/>
                <w:b/>
                <w:bCs/>
                <w:sz w:val="16"/>
                <w:szCs w:val="16"/>
                <w:lang w:eastAsia="es-CO"/>
              </w:rPr>
            </w:pPr>
            <w:r w:rsidRPr="006D0D6E">
              <w:rPr>
                <w:rFonts w:ascii="Arial" w:eastAsia="Times New Roman" w:hAnsi="Arial" w:cs="Arial"/>
                <w:b/>
                <w:bCs/>
                <w:sz w:val="16"/>
                <w:szCs w:val="16"/>
                <w:lang w:eastAsia="es-CO"/>
              </w:rPr>
              <w:t>192.633.199</w:t>
            </w:r>
          </w:p>
        </w:tc>
        <w:tc>
          <w:tcPr>
            <w:tcW w:w="956" w:type="pct"/>
            <w:tcBorders>
              <w:top w:val="nil"/>
              <w:left w:val="nil"/>
              <w:bottom w:val="single" w:sz="4" w:space="0" w:color="auto"/>
              <w:right w:val="single" w:sz="4" w:space="0" w:color="auto"/>
            </w:tcBorders>
            <w:shd w:val="clear" w:color="auto" w:fill="auto"/>
            <w:vAlign w:val="center"/>
            <w:hideMark/>
          </w:tcPr>
          <w:p w:rsidR="006D0D6E" w:rsidRPr="006D0D6E" w:rsidRDefault="006D0D6E" w:rsidP="006D0D6E">
            <w:pPr>
              <w:spacing w:line="240" w:lineRule="auto"/>
              <w:contextualSpacing w:val="0"/>
              <w:jc w:val="left"/>
              <w:rPr>
                <w:rFonts w:ascii="Arial" w:eastAsia="Times New Roman" w:hAnsi="Arial" w:cs="Arial"/>
                <w:color w:val="000000"/>
                <w:sz w:val="16"/>
                <w:szCs w:val="16"/>
                <w:lang w:eastAsia="es-CO"/>
              </w:rPr>
            </w:pPr>
            <w:r w:rsidRPr="006D0D6E">
              <w:rPr>
                <w:rFonts w:ascii="Arial" w:eastAsia="Times New Roman" w:hAnsi="Arial" w:cs="Arial"/>
                <w:color w:val="000000"/>
                <w:sz w:val="16"/>
                <w:szCs w:val="16"/>
                <w:lang w:eastAsia="es-CO"/>
              </w:rPr>
              <w:t> </w:t>
            </w:r>
          </w:p>
        </w:tc>
        <w:tc>
          <w:tcPr>
            <w:tcW w:w="641" w:type="pct"/>
            <w:tcBorders>
              <w:top w:val="nil"/>
              <w:left w:val="nil"/>
              <w:bottom w:val="single" w:sz="4" w:space="0" w:color="auto"/>
              <w:right w:val="single" w:sz="4" w:space="0" w:color="auto"/>
            </w:tcBorders>
            <w:shd w:val="clear" w:color="000000" w:fill="FFFFFF"/>
            <w:noWrap/>
            <w:vAlign w:val="bottom"/>
            <w:hideMark/>
          </w:tcPr>
          <w:p w:rsidR="006D0D6E" w:rsidRPr="006D0D6E" w:rsidRDefault="006D0D6E" w:rsidP="006D0D6E">
            <w:pPr>
              <w:spacing w:line="240" w:lineRule="auto"/>
              <w:contextualSpacing w:val="0"/>
              <w:jc w:val="right"/>
              <w:rPr>
                <w:rFonts w:ascii="Arial" w:eastAsia="Times New Roman" w:hAnsi="Arial" w:cs="Arial"/>
                <w:b/>
                <w:bCs/>
                <w:sz w:val="16"/>
                <w:szCs w:val="16"/>
                <w:lang w:eastAsia="es-CO"/>
              </w:rPr>
            </w:pPr>
            <w:r w:rsidRPr="006D0D6E">
              <w:rPr>
                <w:rFonts w:ascii="Arial" w:eastAsia="Times New Roman" w:hAnsi="Arial" w:cs="Arial"/>
                <w:b/>
                <w:bCs/>
                <w:sz w:val="16"/>
                <w:szCs w:val="16"/>
                <w:lang w:eastAsia="es-CO"/>
              </w:rPr>
              <w:t>1.450.533.434</w:t>
            </w:r>
          </w:p>
        </w:tc>
      </w:tr>
      <w:tr w:rsidR="006D0D6E" w:rsidRPr="006D0D6E" w:rsidTr="006D0D6E">
        <w:trPr>
          <w:trHeight w:val="20"/>
        </w:trPr>
        <w:tc>
          <w:tcPr>
            <w:tcW w:w="2806"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D0D6E" w:rsidRPr="006D0D6E" w:rsidRDefault="006D0D6E" w:rsidP="006D0D6E">
            <w:pPr>
              <w:spacing w:line="240" w:lineRule="auto"/>
              <w:contextualSpacing w:val="0"/>
              <w:jc w:val="center"/>
              <w:rPr>
                <w:rFonts w:ascii="Arial" w:eastAsia="Times New Roman" w:hAnsi="Arial" w:cs="Arial"/>
                <w:b/>
                <w:bCs/>
                <w:color w:val="000000"/>
                <w:sz w:val="16"/>
                <w:szCs w:val="16"/>
                <w:lang w:eastAsia="es-CO"/>
              </w:rPr>
            </w:pPr>
            <w:r w:rsidRPr="006D0D6E">
              <w:rPr>
                <w:rFonts w:ascii="Arial" w:eastAsia="Times New Roman" w:hAnsi="Arial" w:cs="Arial"/>
                <w:b/>
                <w:bCs/>
                <w:color w:val="000000"/>
                <w:sz w:val="16"/>
                <w:szCs w:val="16"/>
                <w:lang w:eastAsia="es-CO"/>
              </w:rPr>
              <w:t xml:space="preserve">TOTAL </w:t>
            </w:r>
          </w:p>
        </w:tc>
        <w:tc>
          <w:tcPr>
            <w:tcW w:w="597" w:type="pct"/>
            <w:tcBorders>
              <w:top w:val="nil"/>
              <w:left w:val="nil"/>
              <w:bottom w:val="single" w:sz="4" w:space="0" w:color="auto"/>
              <w:right w:val="single" w:sz="4" w:space="0" w:color="auto"/>
            </w:tcBorders>
            <w:shd w:val="clear" w:color="auto" w:fill="auto"/>
            <w:noWrap/>
            <w:vAlign w:val="bottom"/>
            <w:hideMark/>
          </w:tcPr>
          <w:p w:rsidR="006D0D6E" w:rsidRPr="006D0D6E" w:rsidRDefault="006D0D6E" w:rsidP="006D0D6E">
            <w:pPr>
              <w:spacing w:line="240" w:lineRule="auto"/>
              <w:contextualSpacing w:val="0"/>
              <w:jc w:val="center"/>
              <w:rPr>
                <w:rFonts w:ascii="Arial" w:eastAsia="Times New Roman" w:hAnsi="Arial" w:cs="Arial"/>
                <w:b/>
                <w:bCs/>
                <w:color w:val="000000"/>
                <w:sz w:val="16"/>
                <w:szCs w:val="16"/>
                <w:lang w:eastAsia="es-CO"/>
              </w:rPr>
            </w:pPr>
            <w:r w:rsidRPr="006D0D6E">
              <w:rPr>
                <w:rFonts w:ascii="Arial" w:eastAsia="Times New Roman" w:hAnsi="Arial" w:cs="Arial"/>
                <w:b/>
                <w:bCs/>
                <w:color w:val="000000"/>
                <w:sz w:val="16"/>
                <w:szCs w:val="16"/>
                <w:lang w:eastAsia="es-CO"/>
              </w:rPr>
              <w:t>972.568.523</w:t>
            </w:r>
          </w:p>
        </w:tc>
        <w:tc>
          <w:tcPr>
            <w:tcW w:w="956" w:type="pct"/>
            <w:tcBorders>
              <w:top w:val="nil"/>
              <w:left w:val="nil"/>
              <w:bottom w:val="single" w:sz="4" w:space="0" w:color="auto"/>
              <w:right w:val="single" w:sz="4" w:space="0" w:color="auto"/>
            </w:tcBorders>
            <w:shd w:val="clear" w:color="auto" w:fill="auto"/>
            <w:noWrap/>
            <w:vAlign w:val="bottom"/>
            <w:hideMark/>
          </w:tcPr>
          <w:p w:rsidR="006D0D6E" w:rsidRPr="006D0D6E" w:rsidRDefault="006D0D6E" w:rsidP="006D0D6E">
            <w:pPr>
              <w:spacing w:line="240" w:lineRule="auto"/>
              <w:contextualSpacing w:val="0"/>
              <w:jc w:val="left"/>
              <w:rPr>
                <w:rFonts w:ascii="Arial" w:eastAsia="Times New Roman" w:hAnsi="Arial" w:cs="Arial"/>
                <w:color w:val="000000"/>
                <w:sz w:val="16"/>
                <w:szCs w:val="16"/>
                <w:lang w:eastAsia="es-CO"/>
              </w:rPr>
            </w:pPr>
            <w:r w:rsidRPr="006D0D6E">
              <w:rPr>
                <w:rFonts w:ascii="Arial" w:eastAsia="Times New Roman" w:hAnsi="Arial" w:cs="Arial"/>
                <w:color w:val="000000"/>
                <w:sz w:val="16"/>
                <w:szCs w:val="16"/>
                <w:lang w:eastAsia="es-CO"/>
              </w:rPr>
              <w:t> </w:t>
            </w:r>
          </w:p>
        </w:tc>
        <w:tc>
          <w:tcPr>
            <w:tcW w:w="641" w:type="pct"/>
            <w:tcBorders>
              <w:top w:val="nil"/>
              <w:left w:val="nil"/>
              <w:bottom w:val="single" w:sz="4" w:space="0" w:color="auto"/>
              <w:right w:val="single" w:sz="4" w:space="0" w:color="auto"/>
            </w:tcBorders>
            <w:shd w:val="clear" w:color="auto" w:fill="auto"/>
            <w:noWrap/>
            <w:vAlign w:val="bottom"/>
            <w:hideMark/>
          </w:tcPr>
          <w:p w:rsidR="006D0D6E" w:rsidRPr="006D0D6E" w:rsidRDefault="006D0D6E" w:rsidP="006D0D6E">
            <w:pPr>
              <w:spacing w:line="240" w:lineRule="auto"/>
              <w:contextualSpacing w:val="0"/>
              <w:jc w:val="center"/>
              <w:rPr>
                <w:rFonts w:ascii="Arial" w:eastAsia="Times New Roman" w:hAnsi="Arial" w:cs="Arial"/>
                <w:b/>
                <w:bCs/>
                <w:color w:val="000000"/>
                <w:sz w:val="16"/>
                <w:szCs w:val="16"/>
                <w:lang w:eastAsia="es-CO"/>
              </w:rPr>
            </w:pPr>
            <w:r w:rsidRPr="006D0D6E">
              <w:rPr>
                <w:rFonts w:ascii="Arial" w:eastAsia="Times New Roman" w:hAnsi="Arial" w:cs="Arial"/>
                <w:b/>
                <w:bCs/>
                <w:color w:val="000000"/>
                <w:sz w:val="16"/>
                <w:szCs w:val="16"/>
                <w:lang w:eastAsia="es-CO"/>
              </w:rPr>
              <w:t>1.450.533.434</w:t>
            </w:r>
          </w:p>
        </w:tc>
      </w:tr>
      <w:tr w:rsidR="006D0D6E" w:rsidRPr="006D0D6E" w:rsidTr="006D0D6E">
        <w:trPr>
          <w:trHeight w:val="20"/>
        </w:trPr>
        <w:tc>
          <w:tcPr>
            <w:tcW w:w="536" w:type="pct"/>
            <w:tcBorders>
              <w:top w:val="nil"/>
              <w:left w:val="nil"/>
              <w:bottom w:val="nil"/>
              <w:right w:val="nil"/>
            </w:tcBorders>
            <w:shd w:val="clear" w:color="000000" w:fill="FFFFFF"/>
            <w:noWrap/>
            <w:vAlign w:val="bottom"/>
            <w:hideMark/>
          </w:tcPr>
          <w:p w:rsidR="006D0D6E" w:rsidRPr="006D0D6E" w:rsidRDefault="006D0D6E" w:rsidP="006D0D6E">
            <w:pPr>
              <w:spacing w:line="240" w:lineRule="auto"/>
              <w:contextualSpacing w:val="0"/>
              <w:jc w:val="left"/>
              <w:rPr>
                <w:rFonts w:ascii="Arial" w:eastAsia="Times New Roman" w:hAnsi="Arial" w:cs="Arial"/>
                <w:color w:val="000000"/>
                <w:sz w:val="16"/>
                <w:szCs w:val="16"/>
                <w:lang w:eastAsia="es-CO"/>
              </w:rPr>
            </w:pPr>
            <w:r w:rsidRPr="006D0D6E">
              <w:rPr>
                <w:rFonts w:ascii="Arial" w:eastAsia="Times New Roman" w:hAnsi="Arial" w:cs="Arial"/>
                <w:color w:val="000000"/>
                <w:sz w:val="16"/>
                <w:szCs w:val="16"/>
                <w:lang w:eastAsia="es-CO"/>
              </w:rPr>
              <w:t> </w:t>
            </w:r>
          </w:p>
        </w:tc>
        <w:tc>
          <w:tcPr>
            <w:tcW w:w="1493" w:type="pct"/>
            <w:tcBorders>
              <w:top w:val="nil"/>
              <w:left w:val="nil"/>
              <w:bottom w:val="nil"/>
              <w:right w:val="nil"/>
            </w:tcBorders>
            <w:shd w:val="clear" w:color="000000" w:fill="FFFFFF"/>
            <w:noWrap/>
            <w:vAlign w:val="bottom"/>
            <w:hideMark/>
          </w:tcPr>
          <w:p w:rsidR="006D0D6E" w:rsidRPr="006D0D6E" w:rsidRDefault="006D0D6E" w:rsidP="006D0D6E">
            <w:pPr>
              <w:spacing w:line="240" w:lineRule="auto"/>
              <w:contextualSpacing w:val="0"/>
              <w:jc w:val="left"/>
              <w:rPr>
                <w:rFonts w:ascii="Arial" w:eastAsia="Times New Roman" w:hAnsi="Arial" w:cs="Arial"/>
                <w:color w:val="000000"/>
                <w:sz w:val="16"/>
                <w:szCs w:val="16"/>
                <w:lang w:eastAsia="es-CO"/>
              </w:rPr>
            </w:pPr>
            <w:r w:rsidRPr="006D0D6E">
              <w:rPr>
                <w:rFonts w:ascii="Arial" w:eastAsia="Times New Roman" w:hAnsi="Arial" w:cs="Arial"/>
                <w:color w:val="000000"/>
                <w:sz w:val="16"/>
                <w:szCs w:val="16"/>
                <w:lang w:eastAsia="es-CO"/>
              </w:rPr>
              <w:t> </w:t>
            </w:r>
          </w:p>
        </w:tc>
        <w:tc>
          <w:tcPr>
            <w:tcW w:w="777" w:type="pct"/>
            <w:tcBorders>
              <w:top w:val="nil"/>
              <w:left w:val="single" w:sz="4" w:space="0" w:color="auto"/>
              <w:bottom w:val="single" w:sz="4" w:space="0" w:color="auto"/>
              <w:right w:val="single" w:sz="4" w:space="0" w:color="auto"/>
            </w:tcBorders>
            <w:shd w:val="clear" w:color="auto" w:fill="auto"/>
            <w:noWrap/>
            <w:vAlign w:val="bottom"/>
            <w:hideMark/>
          </w:tcPr>
          <w:p w:rsidR="006D0D6E" w:rsidRPr="006D0D6E" w:rsidRDefault="006D0D6E" w:rsidP="006D0D6E">
            <w:pPr>
              <w:spacing w:line="240" w:lineRule="auto"/>
              <w:contextualSpacing w:val="0"/>
              <w:jc w:val="right"/>
              <w:rPr>
                <w:rFonts w:ascii="Arial" w:eastAsia="Times New Roman" w:hAnsi="Arial" w:cs="Arial"/>
                <w:b/>
                <w:bCs/>
                <w:color w:val="000000"/>
                <w:sz w:val="16"/>
                <w:szCs w:val="16"/>
                <w:lang w:eastAsia="es-CO"/>
              </w:rPr>
            </w:pPr>
            <w:r w:rsidRPr="006D0D6E">
              <w:rPr>
                <w:rFonts w:ascii="Arial" w:eastAsia="Times New Roman" w:hAnsi="Arial" w:cs="Arial"/>
                <w:b/>
                <w:bCs/>
                <w:color w:val="000000"/>
                <w:sz w:val="16"/>
                <w:szCs w:val="16"/>
                <w:lang w:eastAsia="es-CO"/>
              </w:rPr>
              <w:t>B/C</w:t>
            </w:r>
          </w:p>
        </w:tc>
        <w:tc>
          <w:tcPr>
            <w:tcW w:w="597" w:type="pct"/>
            <w:tcBorders>
              <w:top w:val="nil"/>
              <w:left w:val="nil"/>
              <w:bottom w:val="single" w:sz="4" w:space="0" w:color="auto"/>
              <w:right w:val="single" w:sz="4" w:space="0" w:color="auto"/>
            </w:tcBorders>
            <w:shd w:val="clear" w:color="auto" w:fill="auto"/>
            <w:noWrap/>
            <w:vAlign w:val="bottom"/>
            <w:hideMark/>
          </w:tcPr>
          <w:p w:rsidR="006D0D6E" w:rsidRPr="006D0D6E" w:rsidRDefault="006D0D6E" w:rsidP="006D0D6E">
            <w:pPr>
              <w:spacing w:line="240" w:lineRule="auto"/>
              <w:contextualSpacing w:val="0"/>
              <w:jc w:val="center"/>
              <w:rPr>
                <w:rFonts w:ascii="Arial" w:eastAsia="Times New Roman" w:hAnsi="Arial" w:cs="Arial"/>
                <w:b/>
                <w:bCs/>
                <w:color w:val="000000"/>
                <w:sz w:val="16"/>
                <w:szCs w:val="16"/>
                <w:lang w:eastAsia="es-CO"/>
              </w:rPr>
            </w:pPr>
            <w:r w:rsidRPr="006D0D6E">
              <w:rPr>
                <w:rFonts w:ascii="Arial" w:eastAsia="Times New Roman" w:hAnsi="Arial" w:cs="Arial"/>
                <w:b/>
                <w:bCs/>
                <w:color w:val="000000"/>
                <w:sz w:val="16"/>
                <w:szCs w:val="16"/>
                <w:lang w:eastAsia="es-CO"/>
              </w:rPr>
              <w:t>1,49</w:t>
            </w:r>
          </w:p>
        </w:tc>
        <w:tc>
          <w:tcPr>
            <w:tcW w:w="956" w:type="pct"/>
            <w:tcBorders>
              <w:top w:val="nil"/>
              <w:left w:val="nil"/>
              <w:bottom w:val="nil"/>
              <w:right w:val="nil"/>
            </w:tcBorders>
            <w:shd w:val="clear" w:color="000000" w:fill="FFFFFF"/>
            <w:noWrap/>
            <w:vAlign w:val="bottom"/>
            <w:hideMark/>
          </w:tcPr>
          <w:p w:rsidR="006D0D6E" w:rsidRPr="006D0D6E" w:rsidRDefault="006D0D6E" w:rsidP="006D0D6E">
            <w:pPr>
              <w:spacing w:line="240" w:lineRule="auto"/>
              <w:contextualSpacing w:val="0"/>
              <w:jc w:val="left"/>
              <w:rPr>
                <w:rFonts w:ascii="Arial" w:eastAsia="Times New Roman" w:hAnsi="Arial" w:cs="Arial"/>
                <w:color w:val="000000"/>
                <w:sz w:val="16"/>
                <w:szCs w:val="16"/>
                <w:lang w:eastAsia="es-CO"/>
              </w:rPr>
            </w:pPr>
            <w:r w:rsidRPr="006D0D6E">
              <w:rPr>
                <w:rFonts w:ascii="Arial" w:eastAsia="Times New Roman" w:hAnsi="Arial" w:cs="Arial"/>
                <w:color w:val="000000"/>
                <w:sz w:val="16"/>
                <w:szCs w:val="16"/>
                <w:lang w:eastAsia="es-CO"/>
              </w:rPr>
              <w:t> </w:t>
            </w:r>
          </w:p>
        </w:tc>
        <w:tc>
          <w:tcPr>
            <w:tcW w:w="641" w:type="pct"/>
            <w:tcBorders>
              <w:top w:val="nil"/>
              <w:left w:val="nil"/>
              <w:bottom w:val="nil"/>
              <w:right w:val="nil"/>
            </w:tcBorders>
            <w:shd w:val="clear" w:color="000000" w:fill="FFFFFF"/>
            <w:noWrap/>
            <w:vAlign w:val="bottom"/>
            <w:hideMark/>
          </w:tcPr>
          <w:p w:rsidR="006D0D6E" w:rsidRPr="006D0D6E" w:rsidRDefault="006D0D6E" w:rsidP="006D0D6E">
            <w:pPr>
              <w:spacing w:line="240" w:lineRule="auto"/>
              <w:contextualSpacing w:val="0"/>
              <w:jc w:val="left"/>
              <w:rPr>
                <w:rFonts w:ascii="Arial" w:eastAsia="Times New Roman" w:hAnsi="Arial" w:cs="Arial"/>
                <w:color w:val="000000"/>
                <w:sz w:val="16"/>
                <w:szCs w:val="16"/>
                <w:lang w:eastAsia="es-CO"/>
              </w:rPr>
            </w:pPr>
            <w:r w:rsidRPr="006D0D6E">
              <w:rPr>
                <w:rFonts w:ascii="Arial" w:eastAsia="Times New Roman" w:hAnsi="Arial" w:cs="Arial"/>
                <w:color w:val="000000"/>
                <w:sz w:val="16"/>
                <w:szCs w:val="16"/>
                <w:lang w:eastAsia="es-CO"/>
              </w:rPr>
              <w:t> </w:t>
            </w:r>
          </w:p>
        </w:tc>
      </w:tr>
    </w:tbl>
    <w:p w:rsidR="006D0D6E" w:rsidRPr="00AA0A2C" w:rsidRDefault="006D0D6E" w:rsidP="006D0D6E">
      <w:pPr>
        <w:pStyle w:val="Notas"/>
        <w:rPr>
          <w:rFonts w:asciiTheme="majorHAnsi" w:hAnsiTheme="majorHAnsi"/>
        </w:rPr>
      </w:pPr>
      <w:r w:rsidRPr="00AA0A2C">
        <w:rPr>
          <w:rFonts w:asciiTheme="majorHAnsi" w:hAnsiTheme="majorHAnsi"/>
        </w:rPr>
        <w:t>Fuente: Autopista Rio Magdalena S.A.S., 2016.</w:t>
      </w:r>
    </w:p>
    <w:p w:rsidR="006D0D6E" w:rsidRDefault="006D0D6E" w:rsidP="00AA0A2C">
      <w:pPr>
        <w:rPr>
          <w:rFonts w:asciiTheme="majorHAnsi" w:hAnsiTheme="majorHAnsi"/>
        </w:rPr>
        <w:sectPr w:rsidR="006D0D6E" w:rsidSect="006D0D6E">
          <w:pgSz w:w="15842" w:h="12242" w:orient="landscape" w:code="1"/>
          <w:pgMar w:top="1701" w:right="1701" w:bottom="1701" w:left="2268" w:header="709" w:footer="709" w:gutter="0"/>
          <w:cols w:space="708"/>
          <w:titlePg/>
          <w:docGrid w:linePitch="360"/>
        </w:sectPr>
      </w:pPr>
    </w:p>
    <w:p w:rsidR="006D0D6E" w:rsidRPr="00F6067E" w:rsidRDefault="006D0D6E" w:rsidP="006D0D6E">
      <w:pPr>
        <w:rPr>
          <w:rFonts w:ascii="Arial Narrow" w:hAnsi="Arial Narrow"/>
        </w:rPr>
      </w:pPr>
      <w:bookmarkStart w:id="105" w:name="_Toc367786945"/>
      <w:r w:rsidRPr="00F6067E">
        <w:rPr>
          <w:rFonts w:ascii="Arial Narrow" w:hAnsi="Arial Narrow"/>
        </w:rPr>
        <w:t xml:space="preserve">El cálculo de la Relación B/C aplicado únicamente a los costos y beneficios sobre los ecosistemas estratégicos, da como resultado </w:t>
      </w:r>
      <w:r>
        <w:rPr>
          <w:rFonts w:ascii="Arial Narrow" w:hAnsi="Arial Narrow"/>
          <w:b/>
        </w:rPr>
        <w:t xml:space="preserve">1,49 </w:t>
      </w:r>
      <w:r w:rsidRPr="00F6067E">
        <w:rPr>
          <w:rFonts w:ascii="Arial Narrow" w:hAnsi="Arial Narrow"/>
        </w:rPr>
        <w:t>lo que refuerza la viabilidad del proyecto en términos ambientales.</w:t>
      </w:r>
      <w:bookmarkEnd w:id="105"/>
    </w:p>
    <w:p w:rsidR="00C77CA9" w:rsidRDefault="00C77CA9" w:rsidP="00AA0A2C">
      <w:pPr>
        <w:rPr>
          <w:rFonts w:asciiTheme="majorHAnsi" w:hAnsiTheme="majorHAnsi"/>
        </w:rPr>
      </w:pPr>
    </w:p>
    <w:p w:rsidR="00C77CA9" w:rsidRPr="00F6067E" w:rsidRDefault="00C77CA9" w:rsidP="00C77CA9">
      <w:pPr>
        <w:pStyle w:val="Ttulo2"/>
        <w:rPr>
          <w:rFonts w:eastAsia="Calibri"/>
        </w:rPr>
      </w:pPr>
      <w:r w:rsidRPr="00F6067E">
        <w:rPr>
          <w:rFonts w:eastAsia="Calibri"/>
        </w:rPr>
        <w:t>SOSTENIBILIDAD</w:t>
      </w:r>
    </w:p>
    <w:p w:rsidR="00C77CA9" w:rsidRPr="00F6067E" w:rsidRDefault="00C77CA9" w:rsidP="00C77CA9">
      <w:pPr>
        <w:pStyle w:val="Prrafodelista"/>
        <w:tabs>
          <w:tab w:val="left" w:pos="0"/>
          <w:tab w:val="left" w:pos="851"/>
        </w:tabs>
        <w:ind w:left="0"/>
        <w:rPr>
          <w:rFonts w:ascii="Arial Narrow" w:hAnsi="Arial Narrow" w:cs="Arial"/>
        </w:rPr>
      </w:pPr>
    </w:p>
    <w:p w:rsidR="00C77CA9" w:rsidRPr="00F6067E" w:rsidRDefault="00C77CA9" w:rsidP="00C77CA9">
      <w:pPr>
        <w:pStyle w:val="Prrafodelista"/>
        <w:tabs>
          <w:tab w:val="left" w:pos="0"/>
          <w:tab w:val="left" w:pos="851"/>
        </w:tabs>
        <w:ind w:left="0"/>
        <w:rPr>
          <w:rFonts w:ascii="Arial Narrow" w:hAnsi="Arial Narrow" w:cs="Arial"/>
        </w:rPr>
      </w:pPr>
      <w:r w:rsidRPr="00F6067E">
        <w:rPr>
          <w:rFonts w:ascii="Arial Narrow" w:hAnsi="Arial Narrow" w:cs="Arial"/>
        </w:rPr>
        <w:t>Las metodologías del DNP y de las entidades internacionales contemplan dentro de sus lineamientos para evaluar los proyectos, como factores de  éxito, que se constituyen  en elementos esenciales para garantizar su sostenibilidad los siguientes: Apropiación por los beneficiarios; Política de apoyo por parte del Gobierno Local y Nacional; Tecnologías apropiadas; Aspectos socioculturales favorables; Igualdad entre mujeres y hombres; Capacidades institucionales y de gestión; Protección del medio ambiente y Sostenibilidad económica y financiera.</w:t>
      </w:r>
    </w:p>
    <w:p w:rsidR="00C77CA9" w:rsidRPr="00F6067E" w:rsidRDefault="00C77CA9" w:rsidP="00C77CA9">
      <w:pPr>
        <w:pStyle w:val="Prrafodelista"/>
        <w:tabs>
          <w:tab w:val="left" w:pos="0"/>
          <w:tab w:val="left" w:pos="851"/>
        </w:tabs>
        <w:ind w:left="0"/>
        <w:rPr>
          <w:rFonts w:ascii="Arial Narrow" w:hAnsi="Arial Narrow" w:cs="Arial"/>
        </w:rPr>
      </w:pPr>
    </w:p>
    <w:p w:rsidR="00C77CA9" w:rsidRPr="00F6067E" w:rsidRDefault="00C77CA9" w:rsidP="00C77CA9">
      <w:pPr>
        <w:pStyle w:val="Prrafodelista"/>
        <w:tabs>
          <w:tab w:val="left" w:pos="0"/>
          <w:tab w:val="left" w:pos="851"/>
        </w:tabs>
        <w:ind w:left="0"/>
        <w:rPr>
          <w:rFonts w:ascii="Arial Narrow" w:hAnsi="Arial Narrow" w:cs="Arial"/>
        </w:rPr>
      </w:pPr>
      <w:r w:rsidRPr="00F6067E">
        <w:rPr>
          <w:rFonts w:ascii="Arial Narrow" w:hAnsi="Arial Narrow" w:cs="Arial"/>
        </w:rPr>
        <w:t>Particularmente la sostenibilidad se establece como un componente identificativo de todo proyecto de desarrollo. Bajo la sostenibilidad se entiende la posibilidad de darle continuidad a los efectos positivos del proyecto, una vez que este haya finalizado. Dentro de los criterios para garantizar la sostenibilidad y que se deben evaluar para validar un proyecto, está la autonomía financiera.</w:t>
      </w:r>
    </w:p>
    <w:p w:rsidR="00C77CA9" w:rsidRPr="00F6067E" w:rsidRDefault="00C77CA9" w:rsidP="00C77CA9">
      <w:pPr>
        <w:pStyle w:val="Prrafodelista"/>
        <w:tabs>
          <w:tab w:val="left" w:pos="0"/>
          <w:tab w:val="left" w:pos="851"/>
        </w:tabs>
        <w:ind w:left="0"/>
        <w:rPr>
          <w:rFonts w:ascii="Arial Narrow" w:hAnsi="Arial Narrow" w:cs="Arial"/>
        </w:rPr>
      </w:pPr>
    </w:p>
    <w:p w:rsidR="00C77CA9" w:rsidRPr="00F6067E" w:rsidRDefault="00C77CA9" w:rsidP="00C77CA9">
      <w:pPr>
        <w:pStyle w:val="Prrafodelista"/>
        <w:tabs>
          <w:tab w:val="left" w:pos="0"/>
          <w:tab w:val="left" w:pos="851"/>
        </w:tabs>
        <w:ind w:left="0"/>
        <w:rPr>
          <w:rFonts w:ascii="Arial Narrow" w:hAnsi="Arial Narrow" w:cs="Arial"/>
        </w:rPr>
      </w:pPr>
      <w:r w:rsidRPr="00F6067E">
        <w:rPr>
          <w:rFonts w:ascii="Arial Narrow" w:hAnsi="Arial Narrow" w:cs="Arial"/>
        </w:rPr>
        <w:t>Los factores de viabilidad también llamados de sostenibilidad se han incluido para evaluar los proyectos con el fin de valorar la coherencia y calidad del diseño de una intervención. La viabilidad o sostenibilidad hace referencia básicamente a la capacidad de permanencia en el tiempo de los efectos de un proyecto.</w:t>
      </w:r>
    </w:p>
    <w:p w:rsidR="00C77CA9" w:rsidRPr="00F6067E" w:rsidRDefault="00C77CA9" w:rsidP="00C77CA9">
      <w:pPr>
        <w:pStyle w:val="Prrafodelista"/>
        <w:tabs>
          <w:tab w:val="left" w:pos="0"/>
          <w:tab w:val="left" w:pos="851"/>
        </w:tabs>
        <w:ind w:left="0"/>
        <w:rPr>
          <w:rFonts w:ascii="Arial Narrow" w:hAnsi="Arial Narrow" w:cs="Arial"/>
        </w:rPr>
      </w:pPr>
    </w:p>
    <w:p w:rsidR="00C77CA9" w:rsidRPr="00F6067E" w:rsidRDefault="00C77CA9" w:rsidP="00C77CA9">
      <w:pPr>
        <w:pStyle w:val="Prrafodelista"/>
        <w:tabs>
          <w:tab w:val="left" w:pos="0"/>
          <w:tab w:val="left" w:pos="851"/>
        </w:tabs>
        <w:ind w:left="0"/>
        <w:rPr>
          <w:rFonts w:ascii="Arial Narrow" w:hAnsi="Arial Narrow" w:cs="Arial"/>
        </w:rPr>
      </w:pPr>
      <w:r w:rsidRPr="00F6067E">
        <w:rPr>
          <w:rFonts w:ascii="Arial Narrow" w:hAnsi="Arial Narrow" w:cs="Arial"/>
        </w:rPr>
        <w:t>En concordancia con estos factores, el proyecto</w:t>
      </w:r>
      <w:r w:rsidRPr="00F6067E">
        <w:rPr>
          <w:rFonts w:ascii="Arial Narrow" w:eastAsia="Times New Roman" w:hAnsi="Arial Narrow" w:cs="Arial"/>
          <w:lang w:eastAsia="es-ES"/>
        </w:rPr>
        <w:t xml:space="preserve"> </w:t>
      </w:r>
      <w:r w:rsidRPr="00C77CA9">
        <w:rPr>
          <w:rFonts w:ascii="Arial Narrow" w:hAnsi="Arial Narrow"/>
          <w:bCs/>
          <w:iCs/>
        </w:rPr>
        <w:t>Construcción de la Variante Puerto Berrío en los Departamentos de Antioquia y Santander</w:t>
      </w:r>
      <w:r w:rsidRPr="00C77CA9">
        <w:rPr>
          <w:rFonts w:ascii="Arial Narrow" w:hAnsi="Arial Narrow" w:cs="Arial"/>
        </w:rPr>
        <w:t>, muestra</w:t>
      </w:r>
      <w:r w:rsidRPr="00F6067E">
        <w:rPr>
          <w:rFonts w:ascii="Arial Narrow" w:hAnsi="Arial Narrow" w:cs="Arial"/>
        </w:rPr>
        <w:t xml:space="preserve"> un </w:t>
      </w:r>
      <w:r w:rsidRPr="006D0D6E">
        <w:rPr>
          <w:rFonts w:ascii="Arial Narrow" w:hAnsi="Arial Narrow" w:cs="Arial"/>
        </w:rPr>
        <w:t xml:space="preserve">Indicador de Relación Costo / Beneficio de </w:t>
      </w:r>
      <w:r w:rsidR="006D0D6E" w:rsidRPr="006D0D6E">
        <w:rPr>
          <w:rFonts w:ascii="Arial Narrow" w:hAnsi="Arial Narrow" w:cs="Arial"/>
          <w:b/>
        </w:rPr>
        <w:t>1,05</w:t>
      </w:r>
      <w:r w:rsidRPr="006D0D6E">
        <w:rPr>
          <w:rFonts w:ascii="Arial Narrow" w:hAnsi="Arial Narrow" w:cs="Arial"/>
        </w:rPr>
        <w:t>,</w:t>
      </w:r>
      <w:r w:rsidRPr="00F6067E">
        <w:rPr>
          <w:rFonts w:ascii="Arial Narrow" w:hAnsi="Arial Narrow" w:cs="Arial"/>
        </w:rPr>
        <w:t xml:space="preserve"> que lo califica como viable y sostenible, desde la perspectiva de la evaluación económica de los costos y beneficios ambientales derivados de su ejecución, puesto que el valor de los beneficios supera el de los costos, lo que se traduce en impulso al desarrollo económico local y regional y en la elevación de los niveles de bienestar de las poblaciones involucradas. </w:t>
      </w:r>
    </w:p>
    <w:p w:rsidR="00C77CA9" w:rsidRPr="00F6067E" w:rsidRDefault="00C77CA9" w:rsidP="00C77CA9">
      <w:pPr>
        <w:pStyle w:val="Prrafodelista"/>
        <w:tabs>
          <w:tab w:val="left" w:pos="0"/>
          <w:tab w:val="left" w:pos="851"/>
        </w:tabs>
        <w:ind w:left="0"/>
        <w:rPr>
          <w:rFonts w:ascii="Arial Narrow" w:hAnsi="Arial Narrow" w:cs="Arial"/>
        </w:rPr>
      </w:pPr>
    </w:p>
    <w:p w:rsidR="00C77CA9" w:rsidRPr="00F6067E" w:rsidRDefault="00C77CA9" w:rsidP="00C77CA9">
      <w:pPr>
        <w:pStyle w:val="Prrafodelista"/>
        <w:tabs>
          <w:tab w:val="left" w:pos="0"/>
          <w:tab w:val="left" w:pos="851"/>
        </w:tabs>
        <w:ind w:left="0"/>
        <w:rPr>
          <w:rFonts w:ascii="Arial Narrow" w:hAnsi="Arial Narrow" w:cs="Arial"/>
        </w:rPr>
      </w:pPr>
      <w:r w:rsidRPr="00F6067E">
        <w:rPr>
          <w:rFonts w:ascii="Arial Narrow" w:hAnsi="Arial Narrow" w:cs="Arial"/>
        </w:rPr>
        <w:t xml:space="preserve">Por tanto, las inversiones destinadas a la ejecución del proyecto Vial </w:t>
      </w:r>
      <w:r w:rsidRPr="00F6067E">
        <w:rPr>
          <w:rFonts w:ascii="Arial Narrow" w:eastAsia="Times New Roman" w:hAnsi="Arial Narrow" w:cs="Arial"/>
          <w:lang w:eastAsia="es-ES"/>
        </w:rPr>
        <w:t xml:space="preserve">de la </w:t>
      </w:r>
      <w:r w:rsidRPr="00C77CA9">
        <w:rPr>
          <w:rFonts w:ascii="Arial Narrow" w:hAnsi="Arial Narrow"/>
          <w:bCs/>
          <w:iCs/>
        </w:rPr>
        <w:t>Construcción de la Variante Puerto Berrío en los Departamentos de Antioquia y Santander</w:t>
      </w:r>
      <w:r w:rsidRPr="00C77CA9">
        <w:rPr>
          <w:rFonts w:ascii="Arial Narrow" w:hAnsi="Arial Narrow" w:cs="Arial"/>
        </w:rPr>
        <w:t xml:space="preserve">, </w:t>
      </w:r>
      <w:r w:rsidRPr="00F6067E">
        <w:rPr>
          <w:rFonts w:ascii="Arial Narrow" w:hAnsi="Arial Narrow" w:cs="Arial"/>
        </w:rPr>
        <w:t>tendrían un adecuado y oportuno retorno en el tiempo y la intervención cumple con los objetivos para los cuales se planteó.</w:t>
      </w:r>
    </w:p>
    <w:p w:rsidR="00C77CA9" w:rsidRPr="00AA0A2C" w:rsidRDefault="00C77CA9" w:rsidP="00AA0A2C">
      <w:pPr>
        <w:rPr>
          <w:rFonts w:asciiTheme="majorHAnsi" w:hAnsiTheme="majorHAnsi"/>
        </w:rPr>
      </w:pPr>
    </w:p>
    <w:sectPr w:rsidR="00C77CA9" w:rsidRPr="00AA0A2C" w:rsidSect="00F0791D">
      <w:pgSz w:w="12240" w:h="15840" w:orient="landscape" w:code="1"/>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454D" w:rsidRDefault="00A7454D" w:rsidP="002D46A6">
      <w:r>
        <w:separator/>
      </w:r>
    </w:p>
    <w:p w:rsidR="00A7454D" w:rsidRDefault="00A7454D"/>
  </w:endnote>
  <w:endnote w:type="continuationSeparator" w:id="0">
    <w:p w:rsidR="00A7454D" w:rsidRDefault="00A7454D" w:rsidP="002D46A6">
      <w:r>
        <w:continuationSeparator/>
      </w:r>
    </w:p>
    <w:p w:rsidR="00A7454D" w:rsidRDefault="00A745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egrita">
    <w:altName w:val="Arial"/>
    <w:panose1 w:val="00000000000000000000"/>
    <w:charset w:val="00"/>
    <w:family w:val="roman"/>
    <w:notTrueType/>
    <w:pitch w:val="default"/>
  </w:font>
  <w:font w:name="CG Times">
    <w:altName w:val="Times New Roman"/>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54D" w:rsidRDefault="00A7454D">
    <w:pPr>
      <w:pStyle w:val="Piedepgina"/>
    </w:pPr>
  </w:p>
  <w:p w:rsidR="00A7454D" w:rsidRDefault="00A7454D"/>
  <w:p w:rsidR="00A7454D" w:rsidRDefault="00A7454D"/>
  <w:p w:rsidR="00A7454D" w:rsidRDefault="00A7454D"/>
  <w:p w:rsidR="00A7454D" w:rsidRDefault="00A7454D"/>
  <w:p w:rsidR="00A7454D" w:rsidRDefault="00A7454D"/>
  <w:p w:rsidR="00A7454D" w:rsidRDefault="00A7454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15"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3163"/>
      <w:gridCol w:w="2706"/>
      <w:gridCol w:w="2252"/>
    </w:tblGrid>
    <w:tr w:rsidR="00A7454D" w:rsidRPr="002D46A6" w:rsidTr="00F3736E">
      <w:trPr>
        <w:trHeight w:val="369"/>
      </w:trPr>
      <w:tc>
        <w:tcPr>
          <w:tcW w:w="1929" w:type="pct"/>
          <w:vMerge w:val="restart"/>
          <w:shd w:val="clear" w:color="auto" w:fill="auto"/>
          <w:vAlign w:val="center"/>
        </w:tcPr>
        <w:p w:rsidR="00A7454D" w:rsidRPr="00FB054D" w:rsidRDefault="00A7454D" w:rsidP="00F3736E">
          <w:pPr>
            <w:pStyle w:val="PiePagina"/>
          </w:pPr>
          <w:r w:rsidRPr="0099260E">
            <w:rPr>
              <w:noProof/>
              <w:lang w:eastAsia="es-CO"/>
            </w:rPr>
            <w:drawing>
              <wp:inline distT="0" distB="0" distL="0" distR="0" wp14:anchorId="602E7C37" wp14:editId="7260326E">
                <wp:extent cx="1871345" cy="59563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1675" w:type="pct"/>
          <w:vMerge w:val="restart"/>
          <w:shd w:val="clear" w:color="auto" w:fill="auto"/>
          <w:vAlign w:val="center"/>
        </w:tcPr>
        <w:p w:rsidR="00A7454D" w:rsidRPr="00FB054D" w:rsidRDefault="00A7454D" w:rsidP="00F3736E">
          <w:pPr>
            <w:pStyle w:val="PiePagina"/>
          </w:pPr>
          <w:r>
            <w:t>ESTUDIO DE IMPACTO AMBIENTAL</w:t>
          </w:r>
        </w:p>
      </w:tc>
      <w:tc>
        <w:tcPr>
          <w:tcW w:w="1396" w:type="pct"/>
          <w:shd w:val="clear" w:color="auto" w:fill="auto"/>
          <w:vAlign w:val="center"/>
        </w:tcPr>
        <w:p w:rsidR="00A7454D" w:rsidRPr="00FB054D" w:rsidRDefault="00A7454D" w:rsidP="00F3736E">
          <w:pPr>
            <w:pStyle w:val="PiePagina"/>
          </w:pPr>
          <w:r w:rsidRPr="00F3736E">
            <w:rPr>
              <w:sz w:val="14"/>
            </w:rPr>
            <w:t>Capítulo 10. eVALUACIÓN ECONÓMICA AMBIENTAL</w:t>
          </w:r>
        </w:p>
      </w:tc>
    </w:tr>
    <w:tr w:rsidR="00A7454D" w:rsidRPr="002D46A6" w:rsidTr="00F3736E">
      <w:trPr>
        <w:trHeight w:val="369"/>
      </w:trPr>
      <w:tc>
        <w:tcPr>
          <w:tcW w:w="1929" w:type="pct"/>
          <w:vMerge/>
          <w:shd w:val="clear" w:color="auto" w:fill="auto"/>
          <w:vAlign w:val="center"/>
        </w:tcPr>
        <w:p w:rsidR="00A7454D" w:rsidRPr="00FB054D" w:rsidRDefault="00A7454D" w:rsidP="00F3736E"/>
      </w:tc>
      <w:tc>
        <w:tcPr>
          <w:tcW w:w="1675" w:type="pct"/>
          <w:vMerge/>
          <w:shd w:val="clear" w:color="auto" w:fill="auto"/>
          <w:vAlign w:val="center"/>
        </w:tcPr>
        <w:p w:rsidR="00A7454D" w:rsidRPr="00FB054D" w:rsidRDefault="00A7454D" w:rsidP="00F3736E"/>
      </w:tc>
      <w:tc>
        <w:tcPr>
          <w:tcW w:w="1396" w:type="pct"/>
          <w:shd w:val="clear" w:color="auto" w:fill="auto"/>
          <w:vAlign w:val="center"/>
        </w:tcPr>
        <w:p w:rsidR="00A7454D" w:rsidRPr="00DA6FF5" w:rsidRDefault="00A7454D" w:rsidP="00DA6FF5">
          <w:pPr>
            <w:pStyle w:val="Notas"/>
          </w:pPr>
          <w:r>
            <w:t>Bogotá, marzo de 2016</w:t>
          </w:r>
        </w:p>
      </w:tc>
    </w:tr>
    <w:tr w:rsidR="00A7454D" w:rsidRPr="002D46A6" w:rsidTr="00F3736E">
      <w:trPr>
        <w:trHeight w:val="272"/>
      </w:trPr>
      <w:tc>
        <w:tcPr>
          <w:tcW w:w="1929" w:type="pct"/>
          <w:vMerge/>
          <w:shd w:val="clear" w:color="auto" w:fill="auto"/>
          <w:vAlign w:val="center"/>
        </w:tcPr>
        <w:p w:rsidR="00A7454D" w:rsidRPr="00FB054D" w:rsidRDefault="00A7454D" w:rsidP="00F3736E"/>
      </w:tc>
      <w:tc>
        <w:tcPr>
          <w:tcW w:w="1675" w:type="pct"/>
          <w:vMerge/>
          <w:shd w:val="clear" w:color="auto" w:fill="auto"/>
          <w:vAlign w:val="center"/>
        </w:tcPr>
        <w:p w:rsidR="00A7454D" w:rsidRPr="00FB054D" w:rsidRDefault="00A7454D" w:rsidP="00F3736E"/>
      </w:tc>
      <w:tc>
        <w:tcPr>
          <w:tcW w:w="1396" w:type="pct"/>
          <w:shd w:val="clear" w:color="auto" w:fill="auto"/>
          <w:vAlign w:val="center"/>
        </w:tcPr>
        <w:p w:rsidR="00A7454D" w:rsidRPr="00FB054D" w:rsidRDefault="00A7454D" w:rsidP="00F3736E">
          <w:pPr>
            <w:pStyle w:val="Notas"/>
          </w:pPr>
          <w:r w:rsidRPr="00FB054D">
            <w:t xml:space="preserve">Página </w:t>
          </w:r>
          <w:r w:rsidRPr="00FB054D">
            <w:fldChar w:fldCharType="begin"/>
          </w:r>
          <w:r w:rsidRPr="00FB054D">
            <w:instrText>PAGE   \* MERGEFORMAT</w:instrText>
          </w:r>
          <w:r w:rsidRPr="00FB054D">
            <w:fldChar w:fldCharType="separate"/>
          </w:r>
          <w:r w:rsidR="008878ED" w:rsidRPr="008878ED">
            <w:rPr>
              <w:noProof/>
              <w:lang w:val="es-ES"/>
            </w:rPr>
            <w:t>67</w:t>
          </w:r>
          <w:r w:rsidRPr="00FB054D">
            <w:fldChar w:fldCharType="end"/>
          </w:r>
        </w:p>
      </w:tc>
    </w:tr>
  </w:tbl>
  <w:p w:rsidR="00A7454D" w:rsidRDefault="00A7454D">
    <w:pPr>
      <w:pStyle w:val="Piedepgina"/>
    </w:pPr>
  </w:p>
  <w:p w:rsidR="00A7454D" w:rsidRDefault="00A7454D"/>
  <w:p w:rsidR="00A7454D" w:rsidRDefault="00A7454D"/>
  <w:p w:rsidR="00A7454D" w:rsidRDefault="00A7454D"/>
  <w:p w:rsidR="00A7454D" w:rsidRDefault="00A7454D"/>
  <w:p w:rsidR="00A7454D" w:rsidRDefault="00A7454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15"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7774"/>
      <w:gridCol w:w="6750"/>
      <w:gridCol w:w="5626"/>
    </w:tblGrid>
    <w:tr w:rsidR="00A7454D" w:rsidRPr="002D46A6" w:rsidTr="00A7454D">
      <w:trPr>
        <w:trHeight w:val="369"/>
      </w:trPr>
      <w:tc>
        <w:tcPr>
          <w:tcW w:w="1929" w:type="pct"/>
          <w:vMerge w:val="restart"/>
          <w:shd w:val="clear" w:color="auto" w:fill="auto"/>
          <w:vAlign w:val="center"/>
        </w:tcPr>
        <w:p w:rsidR="00A7454D" w:rsidRPr="00FB054D" w:rsidRDefault="00A7454D" w:rsidP="006D0D6E">
          <w:pPr>
            <w:pStyle w:val="PiePagina"/>
          </w:pPr>
          <w:r w:rsidRPr="0099260E">
            <w:rPr>
              <w:noProof/>
              <w:lang w:eastAsia="es-CO"/>
            </w:rPr>
            <w:drawing>
              <wp:inline distT="0" distB="0" distL="0" distR="0" wp14:anchorId="72043592" wp14:editId="2688064C">
                <wp:extent cx="1871345" cy="59563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1675" w:type="pct"/>
          <w:vMerge w:val="restart"/>
          <w:shd w:val="clear" w:color="auto" w:fill="auto"/>
          <w:vAlign w:val="center"/>
        </w:tcPr>
        <w:p w:rsidR="00A7454D" w:rsidRPr="00FB054D" w:rsidRDefault="00A7454D" w:rsidP="006D0D6E">
          <w:pPr>
            <w:pStyle w:val="PiePagina"/>
          </w:pPr>
          <w:r>
            <w:t>ESTUDIO DE IMPACTO AMBIENTAL</w:t>
          </w:r>
        </w:p>
      </w:tc>
      <w:tc>
        <w:tcPr>
          <w:tcW w:w="1396" w:type="pct"/>
          <w:shd w:val="clear" w:color="auto" w:fill="auto"/>
          <w:vAlign w:val="center"/>
        </w:tcPr>
        <w:p w:rsidR="00A7454D" w:rsidRPr="00FB054D" w:rsidRDefault="00A7454D" w:rsidP="006D0D6E">
          <w:pPr>
            <w:pStyle w:val="PiePagina"/>
          </w:pPr>
          <w:r w:rsidRPr="00F3736E">
            <w:rPr>
              <w:sz w:val="14"/>
            </w:rPr>
            <w:t>Capítulo 10. eVALUACIÓN ECONÓMICA AMBIENTAL</w:t>
          </w:r>
        </w:p>
      </w:tc>
    </w:tr>
    <w:tr w:rsidR="00A7454D" w:rsidRPr="002D46A6" w:rsidTr="00A7454D">
      <w:trPr>
        <w:trHeight w:val="369"/>
      </w:trPr>
      <w:tc>
        <w:tcPr>
          <w:tcW w:w="1929" w:type="pct"/>
          <w:vMerge/>
          <w:shd w:val="clear" w:color="auto" w:fill="auto"/>
          <w:vAlign w:val="center"/>
        </w:tcPr>
        <w:p w:rsidR="00A7454D" w:rsidRPr="00FB054D" w:rsidRDefault="00A7454D" w:rsidP="006D0D6E"/>
      </w:tc>
      <w:tc>
        <w:tcPr>
          <w:tcW w:w="1675" w:type="pct"/>
          <w:vMerge/>
          <w:shd w:val="clear" w:color="auto" w:fill="auto"/>
          <w:vAlign w:val="center"/>
        </w:tcPr>
        <w:p w:rsidR="00A7454D" w:rsidRPr="00FB054D" w:rsidRDefault="00A7454D" w:rsidP="006D0D6E"/>
      </w:tc>
      <w:tc>
        <w:tcPr>
          <w:tcW w:w="1396" w:type="pct"/>
          <w:shd w:val="clear" w:color="auto" w:fill="auto"/>
          <w:vAlign w:val="center"/>
        </w:tcPr>
        <w:p w:rsidR="00A7454D" w:rsidRPr="00DA6FF5" w:rsidRDefault="00A7454D" w:rsidP="006D0D6E">
          <w:pPr>
            <w:pStyle w:val="Notas"/>
          </w:pPr>
          <w:r>
            <w:t>Bogotá, marzo de 2016</w:t>
          </w:r>
        </w:p>
      </w:tc>
    </w:tr>
    <w:tr w:rsidR="00A7454D" w:rsidRPr="002D46A6" w:rsidTr="00A7454D">
      <w:trPr>
        <w:trHeight w:val="272"/>
      </w:trPr>
      <w:tc>
        <w:tcPr>
          <w:tcW w:w="1929" w:type="pct"/>
          <w:vMerge/>
          <w:shd w:val="clear" w:color="auto" w:fill="auto"/>
          <w:vAlign w:val="center"/>
        </w:tcPr>
        <w:p w:rsidR="00A7454D" w:rsidRPr="00FB054D" w:rsidRDefault="00A7454D" w:rsidP="006D0D6E"/>
      </w:tc>
      <w:tc>
        <w:tcPr>
          <w:tcW w:w="1675" w:type="pct"/>
          <w:vMerge/>
          <w:shd w:val="clear" w:color="auto" w:fill="auto"/>
          <w:vAlign w:val="center"/>
        </w:tcPr>
        <w:p w:rsidR="00A7454D" w:rsidRPr="00FB054D" w:rsidRDefault="00A7454D" w:rsidP="006D0D6E"/>
      </w:tc>
      <w:tc>
        <w:tcPr>
          <w:tcW w:w="1396" w:type="pct"/>
          <w:shd w:val="clear" w:color="auto" w:fill="auto"/>
          <w:vAlign w:val="center"/>
        </w:tcPr>
        <w:p w:rsidR="00A7454D" w:rsidRPr="00FB054D" w:rsidRDefault="00A7454D" w:rsidP="006D0D6E">
          <w:pPr>
            <w:pStyle w:val="Notas"/>
          </w:pPr>
          <w:r w:rsidRPr="00FB054D">
            <w:t xml:space="preserve">Página </w:t>
          </w:r>
          <w:r w:rsidRPr="00FB054D">
            <w:fldChar w:fldCharType="begin"/>
          </w:r>
          <w:r w:rsidRPr="00FB054D">
            <w:instrText>PAGE   \* MERGEFORMAT</w:instrText>
          </w:r>
          <w:r w:rsidRPr="00FB054D">
            <w:fldChar w:fldCharType="separate"/>
          </w:r>
          <w:r w:rsidR="008F3A5D" w:rsidRPr="008F3A5D">
            <w:rPr>
              <w:noProof/>
              <w:lang w:val="es-ES"/>
            </w:rPr>
            <w:t>68</w:t>
          </w:r>
          <w:r w:rsidRPr="00FB054D">
            <w:fldChar w:fldCharType="end"/>
          </w:r>
        </w:p>
      </w:tc>
    </w:tr>
  </w:tbl>
  <w:p w:rsidR="00A7454D" w:rsidRDefault="00A7454D">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15"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3163"/>
      <w:gridCol w:w="2706"/>
      <w:gridCol w:w="2252"/>
    </w:tblGrid>
    <w:tr w:rsidR="00A7454D" w:rsidRPr="002D46A6" w:rsidTr="00A7454D">
      <w:trPr>
        <w:trHeight w:val="369"/>
      </w:trPr>
      <w:tc>
        <w:tcPr>
          <w:tcW w:w="1929" w:type="pct"/>
          <w:vMerge w:val="restart"/>
          <w:shd w:val="clear" w:color="auto" w:fill="auto"/>
          <w:vAlign w:val="center"/>
        </w:tcPr>
        <w:p w:rsidR="00A7454D" w:rsidRPr="00FB054D" w:rsidRDefault="00A7454D" w:rsidP="006D0D6E">
          <w:pPr>
            <w:pStyle w:val="PiePagina"/>
          </w:pPr>
          <w:r w:rsidRPr="0099260E">
            <w:rPr>
              <w:noProof/>
              <w:lang w:eastAsia="es-CO"/>
            </w:rPr>
            <w:drawing>
              <wp:inline distT="0" distB="0" distL="0" distR="0" wp14:anchorId="72043592" wp14:editId="2688064C">
                <wp:extent cx="1871345" cy="59563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1675" w:type="pct"/>
          <w:vMerge w:val="restart"/>
          <w:shd w:val="clear" w:color="auto" w:fill="auto"/>
          <w:vAlign w:val="center"/>
        </w:tcPr>
        <w:p w:rsidR="00A7454D" w:rsidRPr="00FB054D" w:rsidRDefault="00A7454D" w:rsidP="006D0D6E">
          <w:pPr>
            <w:pStyle w:val="PiePagina"/>
          </w:pPr>
          <w:r>
            <w:t>ESTUDIO DE IMPACTO AMBIENTAL</w:t>
          </w:r>
        </w:p>
      </w:tc>
      <w:tc>
        <w:tcPr>
          <w:tcW w:w="1396" w:type="pct"/>
          <w:shd w:val="clear" w:color="auto" w:fill="auto"/>
          <w:vAlign w:val="center"/>
        </w:tcPr>
        <w:p w:rsidR="00A7454D" w:rsidRPr="00FB054D" w:rsidRDefault="00A7454D" w:rsidP="006D0D6E">
          <w:pPr>
            <w:pStyle w:val="PiePagina"/>
          </w:pPr>
          <w:r w:rsidRPr="00F3736E">
            <w:rPr>
              <w:sz w:val="14"/>
            </w:rPr>
            <w:t>Capítulo 10. eVALUACIÓN ECONÓMICA AMBIENTAL</w:t>
          </w:r>
        </w:p>
      </w:tc>
    </w:tr>
    <w:tr w:rsidR="00A7454D" w:rsidRPr="002D46A6" w:rsidTr="00A7454D">
      <w:trPr>
        <w:trHeight w:val="369"/>
      </w:trPr>
      <w:tc>
        <w:tcPr>
          <w:tcW w:w="1929" w:type="pct"/>
          <w:vMerge/>
          <w:shd w:val="clear" w:color="auto" w:fill="auto"/>
          <w:vAlign w:val="center"/>
        </w:tcPr>
        <w:p w:rsidR="00A7454D" w:rsidRPr="00FB054D" w:rsidRDefault="00A7454D" w:rsidP="006D0D6E"/>
      </w:tc>
      <w:tc>
        <w:tcPr>
          <w:tcW w:w="1675" w:type="pct"/>
          <w:vMerge/>
          <w:shd w:val="clear" w:color="auto" w:fill="auto"/>
          <w:vAlign w:val="center"/>
        </w:tcPr>
        <w:p w:rsidR="00A7454D" w:rsidRPr="00FB054D" w:rsidRDefault="00A7454D" w:rsidP="006D0D6E"/>
      </w:tc>
      <w:tc>
        <w:tcPr>
          <w:tcW w:w="1396" w:type="pct"/>
          <w:shd w:val="clear" w:color="auto" w:fill="auto"/>
          <w:vAlign w:val="center"/>
        </w:tcPr>
        <w:p w:rsidR="00A7454D" w:rsidRPr="00DA6FF5" w:rsidRDefault="00A7454D" w:rsidP="006D0D6E">
          <w:pPr>
            <w:pStyle w:val="Notas"/>
          </w:pPr>
          <w:r>
            <w:t>Bogotá, marzo de 2016</w:t>
          </w:r>
        </w:p>
      </w:tc>
    </w:tr>
    <w:tr w:rsidR="00A7454D" w:rsidRPr="002D46A6" w:rsidTr="00A7454D">
      <w:trPr>
        <w:trHeight w:val="272"/>
      </w:trPr>
      <w:tc>
        <w:tcPr>
          <w:tcW w:w="1929" w:type="pct"/>
          <w:vMerge/>
          <w:shd w:val="clear" w:color="auto" w:fill="auto"/>
          <w:vAlign w:val="center"/>
        </w:tcPr>
        <w:p w:rsidR="00A7454D" w:rsidRPr="00FB054D" w:rsidRDefault="00A7454D" w:rsidP="006D0D6E"/>
      </w:tc>
      <w:tc>
        <w:tcPr>
          <w:tcW w:w="1675" w:type="pct"/>
          <w:vMerge/>
          <w:shd w:val="clear" w:color="auto" w:fill="auto"/>
          <w:vAlign w:val="center"/>
        </w:tcPr>
        <w:p w:rsidR="00A7454D" w:rsidRPr="00FB054D" w:rsidRDefault="00A7454D" w:rsidP="006D0D6E"/>
      </w:tc>
      <w:tc>
        <w:tcPr>
          <w:tcW w:w="1396" w:type="pct"/>
          <w:shd w:val="clear" w:color="auto" w:fill="auto"/>
          <w:vAlign w:val="center"/>
        </w:tcPr>
        <w:p w:rsidR="00A7454D" w:rsidRPr="00FB054D" w:rsidRDefault="00A7454D" w:rsidP="006D0D6E">
          <w:pPr>
            <w:pStyle w:val="Notas"/>
          </w:pPr>
          <w:r w:rsidRPr="00FB054D">
            <w:t xml:space="preserve">Página </w:t>
          </w:r>
          <w:r w:rsidRPr="00FB054D">
            <w:fldChar w:fldCharType="begin"/>
          </w:r>
          <w:r w:rsidRPr="00FB054D">
            <w:instrText>PAGE   \* MERGEFORMAT</w:instrText>
          </w:r>
          <w:r w:rsidRPr="00FB054D">
            <w:fldChar w:fldCharType="separate"/>
          </w:r>
          <w:r w:rsidR="008878ED" w:rsidRPr="008878ED">
            <w:rPr>
              <w:noProof/>
              <w:lang w:val="es-ES"/>
            </w:rPr>
            <w:t>71</w:t>
          </w:r>
          <w:r w:rsidRPr="00FB054D">
            <w:fldChar w:fldCharType="end"/>
          </w:r>
        </w:p>
      </w:tc>
    </w:tr>
  </w:tbl>
  <w:p w:rsidR="00A7454D" w:rsidRDefault="00A7454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454D" w:rsidRDefault="00A7454D" w:rsidP="002D46A6">
      <w:r>
        <w:separator/>
      </w:r>
    </w:p>
    <w:p w:rsidR="00A7454D" w:rsidRDefault="00A7454D"/>
  </w:footnote>
  <w:footnote w:type="continuationSeparator" w:id="0">
    <w:p w:rsidR="00A7454D" w:rsidRDefault="00A7454D" w:rsidP="002D46A6">
      <w:r>
        <w:continuationSeparator/>
      </w:r>
    </w:p>
    <w:p w:rsidR="00A7454D" w:rsidRDefault="00A7454D"/>
  </w:footnote>
  <w:footnote w:id="1">
    <w:p w:rsidR="00A7454D" w:rsidRPr="007F16FC" w:rsidRDefault="00A7454D" w:rsidP="00CD1F06">
      <w:pPr>
        <w:rPr>
          <w:sz w:val="18"/>
          <w:szCs w:val="20"/>
        </w:rPr>
      </w:pPr>
      <w:r w:rsidRPr="007F16FC">
        <w:rPr>
          <w:rStyle w:val="Refdenotaalpie"/>
          <w:sz w:val="18"/>
          <w:szCs w:val="20"/>
        </w:rPr>
        <w:footnoteRef/>
      </w:r>
      <w:r w:rsidRPr="007F16FC">
        <w:rPr>
          <w:sz w:val="18"/>
          <w:szCs w:val="20"/>
        </w:rPr>
        <w:t xml:space="preserve"> Una relación de los impactos ambientales comprende:</w:t>
      </w:r>
    </w:p>
    <w:p w:rsidR="00A7454D" w:rsidRPr="007F16FC" w:rsidRDefault="00A7454D" w:rsidP="00CD7283">
      <w:pPr>
        <w:pStyle w:val="Prrafodelista"/>
        <w:numPr>
          <w:ilvl w:val="0"/>
          <w:numId w:val="11"/>
        </w:numPr>
        <w:spacing w:line="240" w:lineRule="auto"/>
        <w:rPr>
          <w:sz w:val="18"/>
        </w:rPr>
      </w:pPr>
      <w:r w:rsidRPr="007F16FC">
        <w:rPr>
          <w:b/>
          <w:sz w:val="18"/>
        </w:rPr>
        <w:t xml:space="preserve">Impactos sobre la Población </w:t>
      </w:r>
      <w:r w:rsidRPr="007F16FC">
        <w:rPr>
          <w:sz w:val="18"/>
        </w:rPr>
        <w:t>Incremento o disminución de la morbilidad o mortalidad, la productividad laboral, los costos de tratamientos, de la presencia de olores, visibilidad y riesgos de accidentes.</w:t>
      </w:r>
    </w:p>
    <w:p w:rsidR="00A7454D" w:rsidRPr="007F16FC" w:rsidRDefault="00A7454D" w:rsidP="00CD7283">
      <w:pPr>
        <w:pStyle w:val="Prrafodelista"/>
        <w:numPr>
          <w:ilvl w:val="0"/>
          <w:numId w:val="11"/>
        </w:numPr>
        <w:spacing w:line="240" w:lineRule="auto"/>
        <w:rPr>
          <w:sz w:val="18"/>
        </w:rPr>
      </w:pPr>
      <w:r w:rsidRPr="007F16FC">
        <w:rPr>
          <w:b/>
          <w:sz w:val="18"/>
        </w:rPr>
        <w:t xml:space="preserve">Impactos sobre la Infraestructura </w:t>
      </w:r>
      <w:r w:rsidRPr="007F16FC">
        <w:rPr>
          <w:sz w:val="18"/>
        </w:rPr>
        <w:t>Disminución y/o mantenimiento de la vida útil, tratamiento o mantenimiento de la infraestructura de vivienda, desvalorización de infraestructuras, pérdida de vida útil.</w:t>
      </w:r>
    </w:p>
    <w:p w:rsidR="00A7454D" w:rsidRPr="0006220F" w:rsidRDefault="00A7454D" w:rsidP="00CD7283">
      <w:pPr>
        <w:pStyle w:val="Prrafodelista"/>
        <w:numPr>
          <w:ilvl w:val="0"/>
          <w:numId w:val="11"/>
        </w:numPr>
        <w:spacing w:line="240" w:lineRule="auto"/>
        <w:rPr>
          <w:sz w:val="18"/>
        </w:rPr>
      </w:pPr>
      <w:r w:rsidRPr="0006220F">
        <w:rPr>
          <w:b/>
          <w:sz w:val="18"/>
        </w:rPr>
        <w:t xml:space="preserve">Impactos sobre el ecosistema </w:t>
      </w:r>
      <w:r w:rsidRPr="0006220F">
        <w:rPr>
          <w:sz w:val="18"/>
        </w:rPr>
        <w:t xml:space="preserve">Disminución o aumento de la productividad pesquera, forestal y agropecuaria, capacidad de uso recreacional, disminución de biodiversidad, estabilidad biológica y estética paisajística, servicios funcionales, producción y recarga hídrica, protección contra erosión y purificación del aire. </w:t>
      </w:r>
    </w:p>
    <w:p w:rsidR="00A7454D" w:rsidRPr="00F13FCD" w:rsidRDefault="00A7454D" w:rsidP="008954D5">
      <w:pPr>
        <w:pStyle w:val="Textonotapie"/>
      </w:pPr>
    </w:p>
  </w:footnote>
  <w:footnote w:id="2">
    <w:p w:rsidR="00A7454D" w:rsidRPr="008954D5" w:rsidRDefault="00A7454D" w:rsidP="008954D5">
      <w:pPr>
        <w:pStyle w:val="Textonotapie"/>
      </w:pPr>
      <w:r w:rsidRPr="008954D5">
        <w:rPr>
          <w:rStyle w:val="Refdenotaalpie"/>
          <w:vertAlign w:val="baseline"/>
        </w:rPr>
        <w:footnoteRef/>
      </w:r>
      <w:r w:rsidRPr="008954D5">
        <w:t>MAVDT. CEDE. U de los Andes. Evaluación Económica de Impactos Ambientales en Proyectos.</w:t>
      </w:r>
    </w:p>
  </w:footnote>
  <w:footnote w:id="3">
    <w:p w:rsidR="00A7454D" w:rsidRPr="00F13FCD" w:rsidRDefault="00A7454D" w:rsidP="008954D5">
      <w:pPr>
        <w:pStyle w:val="Textonotapie"/>
      </w:pPr>
      <w:r w:rsidRPr="00F13FCD">
        <w:rPr>
          <w:rStyle w:val="Refdenotaalpie"/>
          <w:sz w:val="16"/>
          <w:szCs w:val="16"/>
        </w:rPr>
        <w:footnoteRef/>
      </w:r>
      <w:r w:rsidRPr="00F13FCD">
        <w:t xml:space="preserve">Centro de Estudio para el Desarrollo (CED).  Valoración Económica del Daño Ambiental, Universidad de Chile, 2003. </w:t>
      </w:r>
    </w:p>
  </w:footnote>
  <w:footnote w:id="4">
    <w:p w:rsidR="00A7454D" w:rsidRPr="00F13FCD" w:rsidRDefault="00A7454D" w:rsidP="00E3412B">
      <w:pPr>
        <w:pStyle w:val="Textonotapie"/>
      </w:pPr>
      <w:r w:rsidRPr="00F13FCD">
        <w:rPr>
          <w:rStyle w:val="Refdenotaalpie"/>
          <w:sz w:val="16"/>
          <w:szCs w:val="16"/>
        </w:rPr>
        <w:footnoteRef/>
      </w:r>
      <w:r w:rsidRPr="00F13FCD">
        <w:t>Se puede definir como la manera de encontrar la forma menos costosa y más efectiva de lograr los objetivos de conservación o algún otro tipo. (Dixon y Pagiola et. al. 2009).</w:t>
      </w:r>
    </w:p>
    <w:p w:rsidR="00A7454D" w:rsidRPr="00F13FCD" w:rsidRDefault="00A7454D" w:rsidP="008954D5">
      <w:pPr>
        <w:pStyle w:val="Textonotapie"/>
      </w:pPr>
    </w:p>
  </w:footnote>
  <w:footnote w:id="5">
    <w:p w:rsidR="00A7454D" w:rsidRPr="005A3BB2" w:rsidRDefault="00A7454D" w:rsidP="005A3BB2">
      <w:pPr>
        <w:pStyle w:val="Textonotapie"/>
      </w:pPr>
      <w:r w:rsidRPr="005A3BB2">
        <w:rPr>
          <w:rStyle w:val="Refdenotaalpie"/>
          <w:vertAlign w:val="baseline"/>
        </w:rPr>
        <w:footnoteRef/>
      </w:r>
      <w:r w:rsidRPr="005A3BB2">
        <w:t>Para un mayor detalle sobre estos tipos de impactos revisar el Manual Técnico de Valoración Económica de Impactos Ambientales CEDE – MAVDT, 2010.</w:t>
      </w:r>
    </w:p>
  </w:footnote>
  <w:footnote w:id="6">
    <w:p w:rsidR="00A7454D" w:rsidRPr="00C635FA" w:rsidRDefault="00A7454D" w:rsidP="00C635FA">
      <w:pPr>
        <w:pStyle w:val="Textonotapie"/>
      </w:pPr>
      <w:r w:rsidRPr="00C635FA">
        <w:footnoteRef/>
      </w:r>
      <w:r w:rsidRPr="00C635FA">
        <w:t>Los impactos internos son aquellos derivados de acciones tomadas para producir o consumir un bien y que pueden ser reflejados en su costo o precio o si afectan sólo en las actividades de producción o consumo; mientras los externos se refieren a aquellos que no se pueden reflejar en precios o que la afectación no puede ser compensada (Asian Development Bank, 1996).</w:t>
      </w:r>
    </w:p>
  </w:footnote>
  <w:footnote w:id="7">
    <w:p w:rsidR="00A7454D" w:rsidRPr="00AA0A2C" w:rsidRDefault="00A7454D" w:rsidP="00AA0A2C">
      <w:pPr>
        <w:pStyle w:val="Textonotapie"/>
      </w:pPr>
      <w:r w:rsidRPr="00AA0A2C">
        <w:rPr>
          <w:rStyle w:val="Refdenotaalpie"/>
          <w:vertAlign w:val="baseline"/>
        </w:rPr>
        <w:footnoteRef/>
      </w:r>
      <w:r w:rsidRPr="00AA0A2C">
        <w:t xml:space="preserve">Franja definida en la Ley 1228 de 2008, artículo 2°, del Ministerio de Transporte. </w:t>
      </w:r>
    </w:p>
  </w:footnote>
  <w:footnote w:id="8">
    <w:p w:rsidR="00A7454D" w:rsidRPr="00766E7D" w:rsidRDefault="00A7454D" w:rsidP="0074463C">
      <w:r w:rsidRPr="00766E7D">
        <w:rPr>
          <w:sz w:val="18"/>
          <w:vertAlign w:val="superscript"/>
        </w:rPr>
        <w:footnoteRef/>
      </w:r>
      <w:r w:rsidRPr="00766E7D">
        <w:rPr>
          <w:sz w:val="18"/>
          <w:vertAlign w:val="superscript"/>
        </w:rPr>
        <w:t xml:space="preserve"> </w:t>
      </w:r>
      <w:r w:rsidRPr="00766E7D">
        <w:rPr>
          <w:sz w:val="18"/>
        </w:rPr>
        <w:t>Las características del AC, así como los insumos utilizados para la valoración, la estructura de la encuesta se describió en el numeral 12.5.3.1.</w:t>
      </w:r>
    </w:p>
  </w:footnote>
  <w:footnote w:id="9">
    <w:p w:rsidR="00A7454D" w:rsidRPr="005B22DF" w:rsidRDefault="00A7454D" w:rsidP="005B22DF">
      <w:pPr>
        <w:pStyle w:val="Textonotapie"/>
      </w:pPr>
      <w:r w:rsidRPr="005B22DF">
        <w:rPr>
          <w:rStyle w:val="Refdenotaalpie"/>
        </w:rPr>
        <w:footnoteRef/>
      </w:r>
      <w:r w:rsidRPr="005B22DF">
        <w:rPr>
          <w:vertAlign w:val="superscript"/>
        </w:rPr>
        <w:t xml:space="preserve"> </w:t>
      </w:r>
      <w:r w:rsidRPr="005B22DF">
        <w:t>En este ejercicio se supone que la “situación sin proyecto”, es una zona con bosques naturales fragmentados y de galería, por lo que la “situación con proyecto” es la misma zona pero deforestada, con suelos desprotegidos y por lo tanto con procesos erosivos que afectan los servicios ambientales que presta.</w:t>
      </w:r>
    </w:p>
  </w:footnote>
  <w:footnote w:id="10">
    <w:p w:rsidR="00A7454D" w:rsidRPr="00F13FCD" w:rsidRDefault="00A7454D" w:rsidP="005B22DF">
      <w:pPr>
        <w:pStyle w:val="Textonotapie"/>
      </w:pPr>
      <w:r w:rsidRPr="005B22DF">
        <w:rPr>
          <w:rStyle w:val="Refdenotaalpie"/>
        </w:rPr>
        <w:footnoteRef/>
      </w:r>
      <w:r w:rsidRPr="005B22DF">
        <w:rPr>
          <w:vertAlign w:val="superscript"/>
        </w:rPr>
        <w:t xml:space="preserve"> </w:t>
      </w:r>
      <w:r w:rsidRPr="005B22DF">
        <w:t>Parte de la infiltración fluye a los ríos y se convierte nuevamente en fuente superficial disponible en el punto de entrega.</w:t>
      </w:r>
      <w:r w:rsidRPr="00F13FCD">
        <w:t xml:space="preserve"> </w:t>
      </w:r>
    </w:p>
  </w:footnote>
  <w:footnote w:id="11">
    <w:p w:rsidR="00A7454D" w:rsidRPr="00F13FCD" w:rsidRDefault="00A7454D" w:rsidP="00DE1231">
      <w:pPr>
        <w:pStyle w:val="Textonotapie"/>
      </w:pPr>
      <w:r w:rsidRPr="00F13FCD">
        <w:rPr>
          <w:rStyle w:val="Refdenotaalpie"/>
          <w:rFonts w:ascii="Arial Narrow" w:hAnsi="Arial Narrow"/>
          <w:sz w:val="16"/>
          <w:szCs w:val="16"/>
        </w:rPr>
        <w:footnoteRef/>
      </w:r>
      <w:r w:rsidRPr="00F13FCD">
        <w:t xml:space="preserve">Teoría estadística de los procesos cuya evolución en el tiempo es aleatoria. </w:t>
      </w:r>
    </w:p>
  </w:footnote>
  <w:footnote w:id="12">
    <w:p w:rsidR="00A7454D" w:rsidRPr="00F13FCD" w:rsidRDefault="00A7454D" w:rsidP="005645E8">
      <w:pPr>
        <w:pStyle w:val="Textonotapie"/>
      </w:pPr>
      <w:r w:rsidRPr="00F13FCD">
        <w:rPr>
          <w:rStyle w:val="Refdenotaalpie"/>
          <w:rFonts w:ascii="Arial Narrow" w:hAnsi="Arial Narrow"/>
          <w:sz w:val="16"/>
          <w:szCs w:val="16"/>
        </w:rPr>
        <w:footnoteRef/>
      </w:r>
      <w:r w:rsidRPr="00F13FCD">
        <w:t xml:space="preserve">Con el fin de establecer el valor en dólares del C02 capturado por los bosques plantados, se consultaron varias fuentes, </w:t>
      </w:r>
      <w:r w:rsidRPr="00F13FCD">
        <w:rPr>
          <w:b/>
        </w:rPr>
        <w:t>Chicago Climate Exchange</w:t>
      </w:r>
      <w:r w:rsidRPr="00F13FCD">
        <w:t>: en operación desde diciembre del 2003; señala que el precio ha fluctuado desde $0.90 hasta los $2.10 dólares por tonelada de CO</w:t>
      </w:r>
      <w:r w:rsidRPr="00F13FCD">
        <w:rPr>
          <w:vertAlign w:val="subscript"/>
        </w:rPr>
        <w:t>2</w:t>
      </w:r>
      <w:r w:rsidRPr="00F13FCD">
        <w:t xml:space="preserve"> (datos a junio de 2005). En general, los compradores de los </w:t>
      </w:r>
      <w:r w:rsidRPr="00F13FCD">
        <w:rPr>
          <w:b/>
        </w:rPr>
        <w:t>Bonos de Carbono</w:t>
      </w:r>
      <w:r w:rsidRPr="00F13FCD">
        <w:t xml:space="preserve"> son empresas privadas de países desarrollados, aunque también algunos países han establecido directamente poderes de compra. En este momento se establece una negociación entre compradores y vendedores donde se discuten la magnitud de las emisiones reducidas, los plazos de reducción, los precios, el calendario de pago y las sanciones por incumplimiento entre otros. Una vez llevado a cabo el proyecto, una segunda entidad operacional independiente, verifica y cuantifica la reducción de emisiones efectiva.</w:t>
      </w:r>
    </w:p>
    <w:p w:rsidR="00A7454D" w:rsidRPr="00F13FCD" w:rsidRDefault="00A7454D" w:rsidP="005645E8">
      <w:pPr>
        <w:pStyle w:val="Textonotapie"/>
      </w:pPr>
      <w:r w:rsidRPr="00F13FCD">
        <w:t>El mercado de carbono se viene desarrollando a nivel mundial desde 1996, pero sólo en los últimos años adquirió mayor fuerza. Se estima que sólo en el año 2002 se transaron bonos equivalentes a 70 millones de toneladas. Actualmente, la reducción de una tonelada CO</w:t>
      </w:r>
      <w:r w:rsidRPr="00F13FCD">
        <w:rPr>
          <w:vertAlign w:val="subscript"/>
        </w:rPr>
        <w:t xml:space="preserve">2 </w:t>
      </w:r>
      <w:r w:rsidRPr="00F13FCD">
        <w:t xml:space="preserve">tiene un precio en el mercado de Bonos de Carbono entre 10 y 15 dólares. Como se puede observar, los </w:t>
      </w:r>
      <w:r w:rsidRPr="00F13FCD">
        <w:rPr>
          <w:b/>
        </w:rPr>
        <w:t>Bonos de Carbono</w:t>
      </w:r>
      <w:r w:rsidRPr="00F13FCD">
        <w:t xml:space="preserve"> son un mecanismo internacional de descontaminación para reducir las emisiones contaminantes al medio ambiente.</w:t>
      </w:r>
    </w:p>
    <w:p w:rsidR="00A7454D" w:rsidRPr="00F13FCD" w:rsidRDefault="00A7454D" w:rsidP="005645E8">
      <w:pPr>
        <w:pStyle w:val="Textonotapie"/>
      </w:pPr>
      <w:r w:rsidRPr="00F13FCD">
        <w:t>Luego de revisar esas fuentes y de conocer las cifras que maneja el Banco Mundial, se encontró que hasta el 2005 el Banco mundial utilizaba 5 dólares por ton de CO</w:t>
      </w:r>
      <w:r w:rsidRPr="00F13FCD">
        <w:rPr>
          <w:vertAlign w:val="subscript"/>
        </w:rPr>
        <w:t xml:space="preserve">2 </w:t>
      </w:r>
      <w:r w:rsidRPr="00F13FCD">
        <w:t>y la consultoría estimó este valor como un promedio de las otras fuentes consultadas y se adoptó para la estimación del valor de los beneficios por captura de CO</w:t>
      </w:r>
      <w:r w:rsidRPr="00F13FCD">
        <w:rPr>
          <w:vertAlign w:val="subscript"/>
        </w:rPr>
        <w:t>2</w:t>
      </w:r>
      <w:r w:rsidRPr="00F13FCD">
        <w:t xml:space="preserve">. </w:t>
      </w:r>
    </w:p>
  </w:footnote>
  <w:footnote w:id="13">
    <w:p w:rsidR="00A243FB" w:rsidRPr="00A243FB" w:rsidRDefault="00A243FB">
      <w:pPr>
        <w:pStyle w:val="Textonotapie"/>
        <w:rPr>
          <w:lang w:val="es-CO"/>
        </w:rPr>
      </w:pPr>
      <w:r w:rsidRPr="00A243FB">
        <w:rPr>
          <w:rStyle w:val="Refdenotaalpie"/>
        </w:rPr>
        <w:footnoteRef/>
      </w:r>
      <w:r w:rsidRPr="00A243FB">
        <w:t xml:space="preserve"> </w:t>
      </w:r>
      <w:r w:rsidRPr="00A243FB">
        <w:rPr>
          <w:lang w:val="es-CO"/>
        </w:rPr>
        <w:t>Decreto 1900 de 2006</w:t>
      </w:r>
      <w:r w:rsidRPr="00A243FB">
        <w:rPr>
          <w:lang w:val="es-CO"/>
        </w:rPr>
        <w:t>.</w:t>
      </w:r>
    </w:p>
  </w:footnote>
  <w:footnote w:id="14">
    <w:p w:rsidR="006F567E" w:rsidRDefault="006F567E" w:rsidP="006F567E">
      <w:pPr>
        <w:pStyle w:val="Textonotapie"/>
      </w:pPr>
      <w:r>
        <w:rPr>
          <w:rStyle w:val="Refdenotaalpie"/>
        </w:rPr>
        <w:footnoteRef/>
      </w:r>
      <w:r>
        <w:t xml:space="preserve"> Conafor. Comisión Nacional Forestal</w:t>
      </w:r>
    </w:p>
  </w:footnote>
  <w:footnote w:id="15">
    <w:p w:rsidR="006F567E" w:rsidRDefault="006F567E" w:rsidP="006F567E">
      <w:pPr>
        <w:pStyle w:val="Textonotapie"/>
      </w:pPr>
      <w:r>
        <w:rPr>
          <w:rStyle w:val="Refdenotaalpie"/>
        </w:rPr>
        <w:footnoteRef/>
      </w:r>
      <w:r>
        <w:t xml:space="preserve"> MADS. Dirección de Bosques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4136"/>
    </w:tblGrid>
    <w:tr w:rsidR="00A7454D" w:rsidRPr="002D46A6" w:rsidTr="00F3736E">
      <w:trPr>
        <w:jc w:val="center"/>
      </w:trPr>
      <w:tc>
        <w:tcPr>
          <w:tcW w:w="2500" w:type="pct"/>
          <w:tcBorders>
            <w:top w:val="nil"/>
            <w:left w:val="nil"/>
            <w:bottom w:val="double" w:sz="4" w:space="0" w:color="auto"/>
            <w:right w:val="nil"/>
          </w:tcBorders>
          <w:shd w:val="clear" w:color="auto" w:fill="auto"/>
          <w:vAlign w:val="center"/>
        </w:tcPr>
        <w:p w:rsidR="00A7454D" w:rsidRPr="00FB054D" w:rsidRDefault="00A7454D" w:rsidP="00F3736E">
          <w:r w:rsidRPr="0099260E">
            <w:rPr>
              <w:noProof/>
              <w:lang w:eastAsia="es-CO"/>
            </w:rPr>
            <w:drawing>
              <wp:inline distT="0" distB="0" distL="0" distR="0" wp14:anchorId="7750218C" wp14:editId="5823E973">
                <wp:extent cx="1871345" cy="59563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2500" w:type="pct"/>
          <w:tcBorders>
            <w:top w:val="nil"/>
            <w:left w:val="nil"/>
            <w:bottom w:val="double" w:sz="4" w:space="0" w:color="auto"/>
            <w:right w:val="nil"/>
          </w:tcBorders>
          <w:shd w:val="clear" w:color="auto" w:fill="auto"/>
          <w:vAlign w:val="center"/>
        </w:tcPr>
        <w:p w:rsidR="00A7454D" w:rsidRPr="00FB054D" w:rsidRDefault="00A7454D" w:rsidP="00F3736E">
          <w:pPr>
            <w:pStyle w:val="Encabezados"/>
          </w:pPr>
          <w:r w:rsidRPr="00D568D4">
            <w:rPr>
              <w:caps w:val="0"/>
            </w:rPr>
            <w:t>Estudio de Impacto Ambiental para la construcción de la variante Puerto Berrío en los departamentos de Antioquia y Santander</w:t>
          </w:r>
        </w:p>
      </w:tc>
    </w:tr>
  </w:tbl>
  <w:p w:rsidR="00A7454D" w:rsidRDefault="00A7454D" w:rsidP="004C0F2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4"/>
      <w:gridCol w:w="10254"/>
    </w:tblGrid>
    <w:tr w:rsidR="00A7454D" w:rsidRPr="002D46A6" w:rsidTr="00A7454D">
      <w:trPr>
        <w:jc w:val="center"/>
      </w:trPr>
      <w:tc>
        <w:tcPr>
          <w:tcW w:w="2500" w:type="pct"/>
          <w:tcBorders>
            <w:top w:val="nil"/>
            <w:left w:val="nil"/>
            <w:bottom w:val="double" w:sz="4" w:space="0" w:color="auto"/>
            <w:right w:val="nil"/>
          </w:tcBorders>
          <w:shd w:val="clear" w:color="auto" w:fill="auto"/>
          <w:vAlign w:val="center"/>
        </w:tcPr>
        <w:p w:rsidR="00A7454D" w:rsidRPr="00FB054D" w:rsidRDefault="00A7454D" w:rsidP="006D0D6E">
          <w:r w:rsidRPr="0099260E">
            <w:rPr>
              <w:noProof/>
              <w:lang w:eastAsia="es-CO"/>
            </w:rPr>
            <w:drawing>
              <wp:inline distT="0" distB="0" distL="0" distR="0" wp14:anchorId="730AF292" wp14:editId="0608C686">
                <wp:extent cx="1871345" cy="59563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2500" w:type="pct"/>
          <w:tcBorders>
            <w:top w:val="nil"/>
            <w:left w:val="nil"/>
            <w:bottom w:val="double" w:sz="4" w:space="0" w:color="auto"/>
            <w:right w:val="nil"/>
          </w:tcBorders>
          <w:shd w:val="clear" w:color="auto" w:fill="auto"/>
          <w:vAlign w:val="center"/>
        </w:tcPr>
        <w:p w:rsidR="00A7454D" w:rsidRPr="00FB054D" w:rsidRDefault="00A7454D" w:rsidP="006D0D6E">
          <w:pPr>
            <w:pStyle w:val="Encabezados"/>
          </w:pPr>
          <w:r w:rsidRPr="00D568D4">
            <w:rPr>
              <w:caps w:val="0"/>
            </w:rPr>
            <w:t>Estudio de Impacto Ambiental para la construcción de la variante Puerto Berrío en los departamentos de Antioquia y Santander</w:t>
          </w:r>
        </w:p>
      </w:tc>
    </w:tr>
  </w:tbl>
  <w:p w:rsidR="00A7454D" w:rsidRDefault="00A7454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4136"/>
    </w:tblGrid>
    <w:tr w:rsidR="00A7454D" w:rsidRPr="002D46A6" w:rsidTr="00A7454D">
      <w:trPr>
        <w:jc w:val="center"/>
      </w:trPr>
      <w:tc>
        <w:tcPr>
          <w:tcW w:w="2500" w:type="pct"/>
          <w:tcBorders>
            <w:top w:val="nil"/>
            <w:left w:val="nil"/>
            <w:bottom w:val="double" w:sz="4" w:space="0" w:color="auto"/>
            <w:right w:val="nil"/>
          </w:tcBorders>
          <w:shd w:val="clear" w:color="auto" w:fill="auto"/>
          <w:vAlign w:val="center"/>
        </w:tcPr>
        <w:p w:rsidR="00A7454D" w:rsidRPr="00FB054D" w:rsidRDefault="00A7454D" w:rsidP="006D0D6E">
          <w:r w:rsidRPr="0099260E">
            <w:rPr>
              <w:noProof/>
              <w:lang w:eastAsia="es-CO"/>
            </w:rPr>
            <w:drawing>
              <wp:inline distT="0" distB="0" distL="0" distR="0" wp14:anchorId="730AF292" wp14:editId="0608C686">
                <wp:extent cx="1871345" cy="59563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2500" w:type="pct"/>
          <w:tcBorders>
            <w:top w:val="nil"/>
            <w:left w:val="nil"/>
            <w:bottom w:val="double" w:sz="4" w:space="0" w:color="auto"/>
            <w:right w:val="nil"/>
          </w:tcBorders>
          <w:shd w:val="clear" w:color="auto" w:fill="auto"/>
          <w:vAlign w:val="center"/>
        </w:tcPr>
        <w:p w:rsidR="00A7454D" w:rsidRPr="00FB054D" w:rsidRDefault="00A7454D" w:rsidP="006D0D6E">
          <w:pPr>
            <w:pStyle w:val="Encabezados"/>
          </w:pPr>
          <w:r w:rsidRPr="00D568D4">
            <w:rPr>
              <w:caps w:val="0"/>
            </w:rPr>
            <w:t>Estudio de Impacto Ambiental para la construcción de la variante Puerto Berrío en los departamentos de Antioquia y Santander</w:t>
          </w:r>
        </w:p>
      </w:tc>
    </w:tr>
  </w:tbl>
  <w:p w:rsidR="00A7454D" w:rsidRPr="006D0D6E" w:rsidRDefault="00A7454D" w:rsidP="006D0D6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1049C"/>
    <w:multiLevelType w:val="hybridMultilevel"/>
    <w:tmpl w:val="04FA5ABC"/>
    <w:lvl w:ilvl="0" w:tplc="C5A872EA">
      <w:start w:val="1"/>
      <w:numFmt w:val="bullet"/>
      <w:pStyle w:val="Ttulo8"/>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3F37F2"/>
    <w:multiLevelType w:val="hybridMultilevel"/>
    <w:tmpl w:val="16088626"/>
    <w:lvl w:ilvl="0" w:tplc="AB24EFD4">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F6E224F"/>
    <w:multiLevelType w:val="hybridMultilevel"/>
    <w:tmpl w:val="AAC4C45A"/>
    <w:lvl w:ilvl="0" w:tplc="F0EC3A96">
      <w:start w:val="1"/>
      <w:numFmt w:val="bullet"/>
      <w:lvlText w:val=""/>
      <w:lvlJc w:val="left"/>
      <w:pPr>
        <w:tabs>
          <w:tab w:val="num" w:pos="360"/>
        </w:tabs>
        <w:ind w:left="360" w:hanging="360"/>
      </w:pPr>
      <w:rPr>
        <w:rFonts w:ascii="Wingdings" w:hAnsi="Wingdings" w:hint="default"/>
        <w:sz w:val="18"/>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486690"/>
    <w:multiLevelType w:val="hybridMultilevel"/>
    <w:tmpl w:val="6A42F486"/>
    <w:lvl w:ilvl="0" w:tplc="1564F012">
      <w:start w:val="1"/>
      <w:numFmt w:val="bullet"/>
      <w:pStyle w:val="Titulo5"/>
      <w:lvlText w:val=""/>
      <w:lvlJc w:val="left"/>
      <w:pPr>
        <w:tabs>
          <w:tab w:val="num" w:pos="360"/>
        </w:tabs>
        <w:ind w:left="360" w:hanging="360"/>
      </w:pPr>
      <w:rPr>
        <w:rFonts w:ascii="Wingdings 2" w:hAnsi="Wingdings 2" w:hint="default"/>
      </w:rPr>
    </w:lvl>
    <w:lvl w:ilvl="1" w:tplc="C38C6570">
      <w:start w:val="2"/>
      <w:numFmt w:val="bullet"/>
      <w:lvlText w:val="-"/>
      <w:lvlJc w:val="left"/>
      <w:pPr>
        <w:tabs>
          <w:tab w:val="num" w:pos="1440"/>
        </w:tabs>
        <w:ind w:left="1440" w:hanging="360"/>
      </w:pPr>
      <w:rPr>
        <w:rFonts w:ascii="Times New Roman" w:hAnsi="Times New Roman" w:hint="default"/>
      </w:rPr>
    </w:lvl>
    <w:lvl w:ilvl="2" w:tplc="09CE7AD6" w:tentative="1">
      <w:start w:val="1"/>
      <w:numFmt w:val="bullet"/>
      <w:lvlText w:val=""/>
      <w:lvlJc w:val="left"/>
      <w:pPr>
        <w:tabs>
          <w:tab w:val="num" w:pos="2160"/>
        </w:tabs>
        <w:ind w:left="2160" w:hanging="360"/>
      </w:pPr>
      <w:rPr>
        <w:rFonts w:ascii="Wingdings" w:hAnsi="Wingdings" w:hint="default"/>
      </w:rPr>
    </w:lvl>
    <w:lvl w:ilvl="3" w:tplc="09729532">
      <w:start w:val="1"/>
      <w:numFmt w:val="bullet"/>
      <w:lvlText w:val=""/>
      <w:lvlJc w:val="left"/>
      <w:pPr>
        <w:tabs>
          <w:tab w:val="num" w:pos="2880"/>
        </w:tabs>
        <w:ind w:left="2880" w:hanging="360"/>
      </w:pPr>
      <w:rPr>
        <w:rFonts w:ascii="Symbol" w:hAnsi="Symbol" w:hint="default"/>
      </w:rPr>
    </w:lvl>
    <w:lvl w:ilvl="4" w:tplc="1B6A3748" w:tentative="1">
      <w:start w:val="1"/>
      <w:numFmt w:val="bullet"/>
      <w:lvlText w:val="o"/>
      <w:lvlJc w:val="left"/>
      <w:pPr>
        <w:tabs>
          <w:tab w:val="num" w:pos="3600"/>
        </w:tabs>
        <w:ind w:left="3600" w:hanging="360"/>
      </w:pPr>
      <w:rPr>
        <w:rFonts w:ascii="Courier New" w:hAnsi="Courier New" w:cs="Wingdings" w:hint="default"/>
      </w:rPr>
    </w:lvl>
    <w:lvl w:ilvl="5" w:tplc="504E2656" w:tentative="1">
      <w:start w:val="1"/>
      <w:numFmt w:val="bullet"/>
      <w:lvlText w:val=""/>
      <w:lvlJc w:val="left"/>
      <w:pPr>
        <w:tabs>
          <w:tab w:val="num" w:pos="4320"/>
        </w:tabs>
        <w:ind w:left="4320" w:hanging="360"/>
      </w:pPr>
      <w:rPr>
        <w:rFonts w:ascii="Wingdings" w:hAnsi="Wingdings" w:hint="default"/>
      </w:rPr>
    </w:lvl>
    <w:lvl w:ilvl="6" w:tplc="3BC0B876" w:tentative="1">
      <w:start w:val="1"/>
      <w:numFmt w:val="bullet"/>
      <w:lvlText w:val=""/>
      <w:lvlJc w:val="left"/>
      <w:pPr>
        <w:tabs>
          <w:tab w:val="num" w:pos="5040"/>
        </w:tabs>
        <w:ind w:left="5040" w:hanging="360"/>
      </w:pPr>
      <w:rPr>
        <w:rFonts w:ascii="Symbol" w:hAnsi="Symbol" w:hint="default"/>
      </w:rPr>
    </w:lvl>
    <w:lvl w:ilvl="7" w:tplc="406CDE5A" w:tentative="1">
      <w:start w:val="1"/>
      <w:numFmt w:val="bullet"/>
      <w:lvlText w:val="o"/>
      <w:lvlJc w:val="left"/>
      <w:pPr>
        <w:tabs>
          <w:tab w:val="num" w:pos="5760"/>
        </w:tabs>
        <w:ind w:left="5760" w:hanging="360"/>
      </w:pPr>
      <w:rPr>
        <w:rFonts w:ascii="Courier New" w:hAnsi="Courier New" w:cs="Wingdings" w:hint="default"/>
      </w:rPr>
    </w:lvl>
    <w:lvl w:ilvl="8" w:tplc="A434065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913106"/>
    <w:multiLevelType w:val="hybridMultilevel"/>
    <w:tmpl w:val="7C80BCF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F4141A0"/>
    <w:multiLevelType w:val="hybridMultilevel"/>
    <w:tmpl w:val="8F343B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0935991"/>
    <w:multiLevelType w:val="hybridMultilevel"/>
    <w:tmpl w:val="ED627400"/>
    <w:lvl w:ilvl="0" w:tplc="85822BFC">
      <w:start w:val="1"/>
      <w:numFmt w:val="bullet"/>
      <w:pStyle w:val="Listaconvi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EDF5C29"/>
    <w:multiLevelType w:val="hybridMultilevel"/>
    <w:tmpl w:val="3D2ACE4C"/>
    <w:lvl w:ilvl="0" w:tplc="69542F0C">
      <w:start w:val="1"/>
      <w:numFmt w:val="bullet"/>
      <w:pStyle w:val="Ttulo6"/>
      <w:lvlText w:val="o"/>
      <w:lvlJc w:val="left"/>
      <w:pPr>
        <w:ind w:left="36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B0E3D73"/>
    <w:multiLevelType w:val="hybridMultilevel"/>
    <w:tmpl w:val="35A2E1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BFC0181"/>
    <w:multiLevelType w:val="hybridMultilevel"/>
    <w:tmpl w:val="C2BE7C78"/>
    <w:lvl w:ilvl="0" w:tplc="FA68017E">
      <w:start w:val="1"/>
      <w:numFmt w:val="bullet"/>
      <w:pStyle w:val="Ttulo4"/>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F3A5FCD"/>
    <w:multiLevelType w:val="hybridMultilevel"/>
    <w:tmpl w:val="4BFA4058"/>
    <w:lvl w:ilvl="0" w:tplc="DF8470B0">
      <w:start w:val="1"/>
      <w:numFmt w:val="bullet"/>
      <w:pStyle w:val="fichavieta"/>
      <w:lvlText w:val=""/>
      <w:lvlJc w:val="left"/>
      <w:pPr>
        <w:ind w:left="360" w:hanging="360"/>
      </w:pPr>
      <w:rPr>
        <w:rFonts w:ascii="Symbol" w:hAnsi="Symbol" w:hint="default"/>
        <w:b w:val="0"/>
        <w:i w:val="0"/>
        <w:caps w:val="0"/>
        <w:strike w:val="0"/>
        <w:dstrike w:val="0"/>
        <w:vanish w:val="0"/>
        <w:webHidden w:val="0"/>
        <w:color w:val="000000"/>
        <w:sz w:val="18"/>
        <w:u w:val="none"/>
        <w:effect w:val="none"/>
        <w:vertAlign w:val="baseline"/>
        <w:specVanish w:val="0"/>
      </w:rPr>
    </w:lvl>
    <w:lvl w:ilvl="1" w:tplc="0C0A0003">
      <w:numFmt w:val="bullet"/>
      <w:lvlText w:val="•"/>
      <w:lvlJc w:val="left"/>
      <w:pPr>
        <w:ind w:left="1080" w:hanging="360"/>
      </w:pPr>
      <w:rPr>
        <w:rFonts w:ascii="Arial" w:eastAsia="Times New Roman" w:hAnsi="Arial" w:cs="Arial"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1" w15:restartNumberingAfterBreak="0">
    <w:nsid w:val="4CEE1688"/>
    <w:multiLevelType w:val="hybridMultilevel"/>
    <w:tmpl w:val="A358DF8E"/>
    <w:lvl w:ilvl="0" w:tplc="AB24EFD4">
      <w:numFmt w:val="bullet"/>
      <w:lvlText w:val="-"/>
      <w:lvlJc w:val="left"/>
      <w:pPr>
        <w:ind w:left="1440" w:hanging="360"/>
      </w:pPr>
      <w:rPr>
        <w:rFonts w:ascii="Arial" w:eastAsia="Times New Roman"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53A518C7"/>
    <w:multiLevelType w:val="multilevel"/>
    <w:tmpl w:val="BF12A730"/>
    <w:lvl w:ilvl="0">
      <w:start w:val="1"/>
      <w:numFmt w:val="decimal"/>
      <w:lvlText w:val="%1."/>
      <w:lvlJc w:val="left"/>
      <w:pPr>
        <w:ind w:left="720" w:hanging="360"/>
      </w:pPr>
      <w:rPr>
        <w:rFonts w:hint="default"/>
      </w:rPr>
    </w:lvl>
    <w:lvl w:ilvl="1">
      <w:start w:val="1"/>
      <w:numFmt w:val="decimal"/>
      <w:pStyle w:val="subtitulo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57372258"/>
    <w:multiLevelType w:val="multilevel"/>
    <w:tmpl w:val="FCB2CF2E"/>
    <w:lvl w:ilvl="0">
      <w:start w:val="10"/>
      <w:numFmt w:val="decimal"/>
      <w:pStyle w:val="Ttulo1"/>
      <w:lvlText w:val="%1."/>
      <w:lvlJc w:val="left"/>
      <w:pPr>
        <w:ind w:left="360" w:hanging="360"/>
      </w:pPr>
      <w:rPr>
        <w:rFonts w:hint="default"/>
      </w:rPr>
    </w:lvl>
    <w:lvl w:ilvl="1">
      <w:start w:val="1"/>
      <w:numFmt w:val="decimal"/>
      <w:pStyle w:val="Ttulo2"/>
      <w:lvlText w:val="%1.%2."/>
      <w:lvlJc w:val="left"/>
      <w:pPr>
        <w:ind w:left="792" w:hanging="432"/>
      </w:pPr>
      <w:rPr>
        <w:rFonts w:hint="default"/>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9D80371"/>
    <w:multiLevelType w:val="hybridMultilevel"/>
    <w:tmpl w:val="6B40FB5A"/>
    <w:lvl w:ilvl="0" w:tplc="FB20B094">
      <w:start w:val="1"/>
      <w:numFmt w:val="bullet"/>
      <w:lvlText w:val="-"/>
      <w:lvlJc w:val="left"/>
      <w:pPr>
        <w:ind w:left="720" w:hanging="360"/>
      </w:pPr>
      <w:rPr>
        <w:rFonts w:ascii="Courier New" w:hAnsi="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D5A05A6"/>
    <w:multiLevelType w:val="multilevel"/>
    <w:tmpl w:val="B5621BF6"/>
    <w:lvl w:ilvl="0">
      <w:start w:val="1"/>
      <w:numFmt w:val="decimal"/>
      <w:pStyle w:val="TTULO10"/>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60672CA4"/>
    <w:multiLevelType w:val="hybridMultilevel"/>
    <w:tmpl w:val="9A66DA52"/>
    <w:lvl w:ilvl="0" w:tplc="84F6642E">
      <w:start w:val="1"/>
      <w:numFmt w:val="bullet"/>
      <w:pStyle w:val="Ttulo7"/>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0BC48F5"/>
    <w:multiLevelType w:val="hybridMultilevel"/>
    <w:tmpl w:val="2E62EF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0C77F47"/>
    <w:multiLevelType w:val="hybridMultilevel"/>
    <w:tmpl w:val="532057C0"/>
    <w:lvl w:ilvl="0" w:tplc="AB24EFD4">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9" w15:restartNumberingAfterBreak="0">
    <w:nsid w:val="68D62F60"/>
    <w:multiLevelType w:val="hybridMultilevel"/>
    <w:tmpl w:val="A4AA9A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C8A2A58"/>
    <w:multiLevelType w:val="hybridMultilevel"/>
    <w:tmpl w:val="41EEB308"/>
    <w:lvl w:ilvl="0" w:tplc="FB20B094">
      <w:start w:val="1"/>
      <w:numFmt w:val="bullet"/>
      <w:lvlText w:val="-"/>
      <w:lvlJc w:val="left"/>
      <w:pPr>
        <w:ind w:left="1080" w:hanging="360"/>
      </w:pPr>
      <w:rPr>
        <w:rFonts w:ascii="Courier New" w:hAnsi="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15:restartNumberingAfterBreak="0">
    <w:nsid w:val="6CAF3B7D"/>
    <w:multiLevelType w:val="hybridMultilevel"/>
    <w:tmpl w:val="E41CB9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27A7BB3"/>
    <w:multiLevelType w:val="multilevel"/>
    <w:tmpl w:val="54EC66DC"/>
    <w:lvl w:ilvl="0">
      <w:start w:val="1"/>
      <w:numFmt w:val="decimal"/>
      <w:lvlText w:val="%1."/>
      <w:lvlJc w:val="left"/>
      <w:pPr>
        <w:tabs>
          <w:tab w:val="num" w:pos="432"/>
        </w:tabs>
        <w:ind w:left="432" w:hanging="432"/>
      </w:pPr>
      <w:rPr>
        <w:rFonts w:ascii="Cambria" w:eastAsia="Times New Roman" w:hAnsi="Cambria" w:cs="Times New Roman"/>
      </w:rPr>
    </w:lvl>
    <w:lvl w:ilvl="1">
      <w:start w:val="1"/>
      <w:numFmt w:val="decimal"/>
      <w:lvlText w:val="%1.%2"/>
      <w:lvlJc w:val="left"/>
      <w:pPr>
        <w:tabs>
          <w:tab w:val="num" w:pos="576"/>
        </w:tabs>
        <w:ind w:left="576" w:hanging="576"/>
      </w:pPr>
    </w:lvl>
    <w:lvl w:ilvl="2">
      <w:start w:val="1"/>
      <w:numFmt w:val="decimal"/>
      <w:pStyle w:val="EstiloTtulo3ttulo3Ttulo3AALEdgar3111Ttulo3Ttulo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79173399"/>
    <w:multiLevelType w:val="hybridMultilevel"/>
    <w:tmpl w:val="52FE5514"/>
    <w:lvl w:ilvl="0" w:tplc="07604110">
      <w:start w:val="1"/>
      <w:numFmt w:val="bullet"/>
      <w:pStyle w:val="Ttulo5"/>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BEA0765"/>
    <w:multiLevelType w:val="hybridMultilevel"/>
    <w:tmpl w:val="C9EC1F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2"/>
  </w:num>
  <w:num w:numId="2">
    <w:abstractNumId w:val="9"/>
  </w:num>
  <w:num w:numId="3">
    <w:abstractNumId w:val="23"/>
  </w:num>
  <w:num w:numId="4">
    <w:abstractNumId w:val="7"/>
  </w:num>
  <w:num w:numId="5">
    <w:abstractNumId w:val="16"/>
  </w:num>
  <w:num w:numId="6">
    <w:abstractNumId w:val="0"/>
  </w:num>
  <w:num w:numId="7">
    <w:abstractNumId w:val="6"/>
  </w:num>
  <w:num w:numId="8">
    <w:abstractNumId w:val="3"/>
  </w:num>
  <w:num w:numId="9">
    <w:abstractNumId w:val="10"/>
  </w:num>
  <w:num w:numId="10">
    <w:abstractNumId w:val="13"/>
  </w:num>
  <w:num w:numId="11">
    <w:abstractNumId w:val="2"/>
  </w:num>
  <w:num w:numId="12">
    <w:abstractNumId w:val="5"/>
  </w:num>
  <w:num w:numId="13">
    <w:abstractNumId w:val="21"/>
  </w:num>
  <w:num w:numId="14">
    <w:abstractNumId w:val="19"/>
  </w:num>
  <w:num w:numId="15">
    <w:abstractNumId w:val="17"/>
  </w:num>
  <w:num w:numId="16">
    <w:abstractNumId w:val="8"/>
  </w:num>
  <w:num w:numId="17">
    <w:abstractNumId w:val="24"/>
  </w:num>
  <w:num w:numId="18">
    <w:abstractNumId w:val="20"/>
  </w:num>
  <w:num w:numId="19">
    <w:abstractNumId w:val="14"/>
  </w:num>
  <w:num w:numId="20">
    <w:abstractNumId w:val="15"/>
  </w:num>
  <w:num w:numId="21">
    <w:abstractNumId w:val="12"/>
  </w:num>
  <w:num w:numId="22">
    <w:abstractNumId w:val="11"/>
  </w:num>
  <w:num w:numId="23">
    <w:abstractNumId w:val="18"/>
  </w:num>
  <w:num w:numId="24">
    <w:abstractNumId w:val="1"/>
  </w:num>
  <w:num w:numId="25">
    <w:abstractNumId w:val="1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attachedTemplate r:id="rId1"/>
  <w:documentProtection w:edit="readOnly" w:enforcement="0"/>
  <w:defaultTabStop w:val="708"/>
  <w:hyphenationZone w:val="425"/>
  <w:characterSpacingControl w:val="doNotCompress"/>
  <w:hdrShapeDefaults>
    <o:shapedefaults v:ext="edit" spidmax="512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811"/>
    <w:rsid w:val="00001468"/>
    <w:rsid w:val="0000480C"/>
    <w:rsid w:val="00011046"/>
    <w:rsid w:val="00016AD6"/>
    <w:rsid w:val="00016D13"/>
    <w:rsid w:val="0001772A"/>
    <w:rsid w:val="00020AE5"/>
    <w:rsid w:val="0002173D"/>
    <w:rsid w:val="0002205F"/>
    <w:rsid w:val="000242BE"/>
    <w:rsid w:val="0003090D"/>
    <w:rsid w:val="000310E0"/>
    <w:rsid w:val="00031134"/>
    <w:rsid w:val="00032A9D"/>
    <w:rsid w:val="0003627E"/>
    <w:rsid w:val="00036562"/>
    <w:rsid w:val="00053265"/>
    <w:rsid w:val="00055E73"/>
    <w:rsid w:val="00055FAD"/>
    <w:rsid w:val="0005608D"/>
    <w:rsid w:val="000571A9"/>
    <w:rsid w:val="0006220F"/>
    <w:rsid w:val="00062648"/>
    <w:rsid w:val="00065B12"/>
    <w:rsid w:val="000741FF"/>
    <w:rsid w:val="00074339"/>
    <w:rsid w:val="000748F1"/>
    <w:rsid w:val="000808EE"/>
    <w:rsid w:val="00080CC8"/>
    <w:rsid w:val="00086FD0"/>
    <w:rsid w:val="00095758"/>
    <w:rsid w:val="00097225"/>
    <w:rsid w:val="000A1DAF"/>
    <w:rsid w:val="000A20F8"/>
    <w:rsid w:val="000A2B7B"/>
    <w:rsid w:val="000A38B4"/>
    <w:rsid w:val="000B1514"/>
    <w:rsid w:val="000B3CCE"/>
    <w:rsid w:val="000C5810"/>
    <w:rsid w:val="000D14E6"/>
    <w:rsid w:val="000E31D2"/>
    <w:rsid w:val="000E3AEF"/>
    <w:rsid w:val="000F1742"/>
    <w:rsid w:val="000F31A6"/>
    <w:rsid w:val="000F6F16"/>
    <w:rsid w:val="0010296A"/>
    <w:rsid w:val="00104C0B"/>
    <w:rsid w:val="001071C3"/>
    <w:rsid w:val="00113091"/>
    <w:rsid w:val="001142D6"/>
    <w:rsid w:val="001168A6"/>
    <w:rsid w:val="001239C0"/>
    <w:rsid w:val="00124A40"/>
    <w:rsid w:val="001335EC"/>
    <w:rsid w:val="00140DC9"/>
    <w:rsid w:val="00143DF4"/>
    <w:rsid w:val="00145CCD"/>
    <w:rsid w:val="00154D21"/>
    <w:rsid w:val="0015703F"/>
    <w:rsid w:val="0016100B"/>
    <w:rsid w:val="0016251C"/>
    <w:rsid w:val="001777E6"/>
    <w:rsid w:val="00181A82"/>
    <w:rsid w:val="001860EA"/>
    <w:rsid w:val="00186175"/>
    <w:rsid w:val="0019132C"/>
    <w:rsid w:val="00191DCB"/>
    <w:rsid w:val="001A1415"/>
    <w:rsid w:val="001A3402"/>
    <w:rsid w:val="001A4C92"/>
    <w:rsid w:val="001A5DBA"/>
    <w:rsid w:val="001A74C2"/>
    <w:rsid w:val="001B3DCF"/>
    <w:rsid w:val="001B7AD2"/>
    <w:rsid w:val="001C2526"/>
    <w:rsid w:val="001C4ABE"/>
    <w:rsid w:val="001D4C27"/>
    <w:rsid w:val="001E1C3B"/>
    <w:rsid w:val="001E62CE"/>
    <w:rsid w:val="001F4F9F"/>
    <w:rsid w:val="0020238D"/>
    <w:rsid w:val="00203200"/>
    <w:rsid w:val="00206747"/>
    <w:rsid w:val="00212FBE"/>
    <w:rsid w:val="002211FE"/>
    <w:rsid w:val="00221F9A"/>
    <w:rsid w:val="00223040"/>
    <w:rsid w:val="002238ED"/>
    <w:rsid w:val="00223E38"/>
    <w:rsid w:val="002249A8"/>
    <w:rsid w:val="002359D3"/>
    <w:rsid w:val="002424D0"/>
    <w:rsid w:val="002432E4"/>
    <w:rsid w:val="00245A85"/>
    <w:rsid w:val="002574F8"/>
    <w:rsid w:val="00262062"/>
    <w:rsid w:val="00264388"/>
    <w:rsid w:val="0026505C"/>
    <w:rsid w:val="00292E38"/>
    <w:rsid w:val="00297DD4"/>
    <w:rsid w:val="002A22DB"/>
    <w:rsid w:val="002A46D7"/>
    <w:rsid w:val="002A5B3F"/>
    <w:rsid w:val="002A7850"/>
    <w:rsid w:val="002B1B42"/>
    <w:rsid w:val="002B740B"/>
    <w:rsid w:val="002C01A0"/>
    <w:rsid w:val="002C1FEF"/>
    <w:rsid w:val="002C2006"/>
    <w:rsid w:val="002C238F"/>
    <w:rsid w:val="002C5B43"/>
    <w:rsid w:val="002C65B8"/>
    <w:rsid w:val="002C7EF6"/>
    <w:rsid w:val="002D2C1E"/>
    <w:rsid w:val="002D2EE8"/>
    <w:rsid w:val="002D46A6"/>
    <w:rsid w:val="002D707D"/>
    <w:rsid w:val="002E31AD"/>
    <w:rsid w:val="002F1D1D"/>
    <w:rsid w:val="002F2925"/>
    <w:rsid w:val="002F33E5"/>
    <w:rsid w:val="002F726D"/>
    <w:rsid w:val="002F79ED"/>
    <w:rsid w:val="0030076B"/>
    <w:rsid w:val="003011C5"/>
    <w:rsid w:val="003011E2"/>
    <w:rsid w:val="00301CE2"/>
    <w:rsid w:val="00302A4A"/>
    <w:rsid w:val="00303832"/>
    <w:rsid w:val="00306F72"/>
    <w:rsid w:val="00311FDA"/>
    <w:rsid w:val="003123A5"/>
    <w:rsid w:val="00313B0C"/>
    <w:rsid w:val="00316751"/>
    <w:rsid w:val="003172F9"/>
    <w:rsid w:val="00320D0C"/>
    <w:rsid w:val="003253C5"/>
    <w:rsid w:val="00342B99"/>
    <w:rsid w:val="0034321E"/>
    <w:rsid w:val="003438BD"/>
    <w:rsid w:val="003466A2"/>
    <w:rsid w:val="003624E0"/>
    <w:rsid w:val="00370CFB"/>
    <w:rsid w:val="003734E2"/>
    <w:rsid w:val="00373C72"/>
    <w:rsid w:val="00373D4D"/>
    <w:rsid w:val="0037407F"/>
    <w:rsid w:val="003744C8"/>
    <w:rsid w:val="00375AF2"/>
    <w:rsid w:val="00376E98"/>
    <w:rsid w:val="003815E3"/>
    <w:rsid w:val="00383624"/>
    <w:rsid w:val="003836D3"/>
    <w:rsid w:val="003849B2"/>
    <w:rsid w:val="00386569"/>
    <w:rsid w:val="003908F3"/>
    <w:rsid w:val="003937AF"/>
    <w:rsid w:val="003954FE"/>
    <w:rsid w:val="003956B2"/>
    <w:rsid w:val="0039618C"/>
    <w:rsid w:val="00396AF5"/>
    <w:rsid w:val="003A6239"/>
    <w:rsid w:val="003B00D6"/>
    <w:rsid w:val="003B0CDB"/>
    <w:rsid w:val="003B1384"/>
    <w:rsid w:val="003B17DF"/>
    <w:rsid w:val="003B3C38"/>
    <w:rsid w:val="003C4249"/>
    <w:rsid w:val="003C5D4C"/>
    <w:rsid w:val="003D2A91"/>
    <w:rsid w:val="003E1035"/>
    <w:rsid w:val="003E203E"/>
    <w:rsid w:val="003E4946"/>
    <w:rsid w:val="003E5EF5"/>
    <w:rsid w:val="003E715C"/>
    <w:rsid w:val="003F595F"/>
    <w:rsid w:val="003F5D6B"/>
    <w:rsid w:val="00400E46"/>
    <w:rsid w:val="00403FC6"/>
    <w:rsid w:val="00406537"/>
    <w:rsid w:val="00407C1C"/>
    <w:rsid w:val="00417AF5"/>
    <w:rsid w:val="004225A4"/>
    <w:rsid w:val="0042309E"/>
    <w:rsid w:val="00424B3C"/>
    <w:rsid w:val="004276C2"/>
    <w:rsid w:val="004303B4"/>
    <w:rsid w:val="004351C1"/>
    <w:rsid w:val="00435644"/>
    <w:rsid w:val="00440B2D"/>
    <w:rsid w:val="004465B9"/>
    <w:rsid w:val="00451CEB"/>
    <w:rsid w:val="00460D80"/>
    <w:rsid w:val="00470510"/>
    <w:rsid w:val="00471CE1"/>
    <w:rsid w:val="00472906"/>
    <w:rsid w:val="004733FB"/>
    <w:rsid w:val="00474D8F"/>
    <w:rsid w:val="004756A3"/>
    <w:rsid w:val="00476ABE"/>
    <w:rsid w:val="00482635"/>
    <w:rsid w:val="00482DA5"/>
    <w:rsid w:val="0048307C"/>
    <w:rsid w:val="004874E5"/>
    <w:rsid w:val="00487DF7"/>
    <w:rsid w:val="00491542"/>
    <w:rsid w:val="004924FB"/>
    <w:rsid w:val="00493718"/>
    <w:rsid w:val="004942CA"/>
    <w:rsid w:val="004978AE"/>
    <w:rsid w:val="004A124E"/>
    <w:rsid w:val="004A2195"/>
    <w:rsid w:val="004A3DB8"/>
    <w:rsid w:val="004A40B0"/>
    <w:rsid w:val="004B0EBB"/>
    <w:rsid w:val="004B49C5"/>
    <w:rsid w:val="004B4E08"/>
    <w:rsid w:val="004C0F2C"/>
    <w:rsid w:val="004C49EF"/>
    <w:rsid w:val="004C5F41"/>
    <w:rsid w:val="004C7D4B"/>
    <w:rsid w:val="004D0686"/>
    <w:rsid w:val="004D490D"/>
    <w:rsid w:val="004E73B7"/>
    <w:rsid w:val="004E7538"/>
    <w:rsid w:val="004E7BC8"/>
    <w:rsid w:val="004F2CFB"/>
    <w:rsid w:val="004F7AD3"/>
    <w:rsid w:val="0051215F"/>
    <w:rsid w:val="00516530"/>
    <w:rsid w:val="00522504"/>
    <w:rsid w:val="005240D8"/>
    <w:rsid w:val="00526831"/>
    <w:rsid w:val="00531B37"/>
    <w:rsid w:val="00531EB5"/>
    <w:rsid w:val="00532B44"/>
    <w:rsid w:val="0053785D"/>
    <w:rsid w:val="00546856"/>
    <w:rsid w:val="00546FE0"/>
    <w:rsid w:val="00553078"/>
    <w:rsid w:val="00553B8A"/>
    <w:rsid w:val="0055549E"/>
    <w:rsid w:val="005579B4"/>
    <w:rsid w:val="0056110D"/>
    <w:rsid w:val="005645E8"/>
    <w:rsid w:val="00571A7C"/>
    <w:rsid w:val="00572BB4"/>
    <w:rsid w:val="00573D2A"/>
    <w:rsid w:val="005748BA"/>
    <w:rsid w:val="00575BE7"/>
    <w:rsid w:val="005803F6"/>
    <w:rsid w:val="0058173F"/>
    <w:rsid w:val="00581AA0"/>
    <w:rsid w:val="00582D3E"/>
    <w:rsid w:val="00592838"/>
    <w:rsid w:val="00595966"/>
    <w:rsid w:val="005A362B"/>
    <w:rsid w:val="005A3BB2"/>
    <w:rsid w:val="005B22DF"/>
    <w:rsid w:val="005B4A35"/>
    <w:rsid w:val="005B54FA"/>
    <w:rsid w:val="005B5F00"/>
    <w:rsid w:val="005C0B26"/>
    <w:rsid w:val="005C3521"/>
    <w:rsid w:val="005C4F2E"/>
    <w:rsid w:val="005D0526"/>
    <w:rsid w:val="005E1BE9"/>
    <w:rsid w:val="005E7FBA"/>
    <w:rsid w:val="005F1AA6"/>
    <w:rsid w:val="00601384"/>
    <w:rsid w:val="00612000"/>
    <w:rsid w:val="00612AD7"/>
    <w:rsid w:val="00615615"/>
    <w:rsid w:val="00616146"/>
    <w:rsid w:val="00626757"/>
    <w:rsid w:val="00635034"/>
    <w:rsid w:val="00635FF7"/>
    <w:rsid w:val="00642058"/>
    <w:rsid w:val="00643D6C"/>
    <w:rsid w:val="00646393"/>
    <w:rsid w:val="006527EB"/>
    <w:rsid w:val="006649A9"/>
    <w:rsid w:val="006658B2"/>
    <w:rsid w:val="00666BA4"/>
    <w:rsid w:val="00673583"/>
    <w:rsid w:val="006742A4"/>
    <w:rsid w:val="00686E58"/>
    <w:rsid w:val="006A1671"/>
    <w:rsid w:val="006A2AF0"/>
    <w:rsid w:val="006A3F0F"/>
    <w:rsid w:val="006A4FD3"/>
    <w:rsid w:val="006B214D"/>
    <w:rsid w:val="006B4645"/>
    <w:rsid w:val="006C5637"/>
    <w:rsid w:val="006D0D6E"/>
    <w:rsid w:val="006E194F"/>
    <w:rsid w:val="006E2193"/>
    <w:rsid w:val="006E2583"/>
    <w:rsid w:val="006F1088"/>
    <w:rsid w:val="006F2871"/>
    <w:rsid w:val="006F4669"/>
    <w:rsid w:val="006F49A0"/>
    <w:rsid w:val="006F4E9B"/>
    <w:rsid w:val="006F567E"/>
    <w:rsid w:val="006F6E2F"/>
    <w:rsid w:val="00706613"/>
    <w:rsid w:val="00707C9B"/>
    <w:rsid w:val="00723CF3"/>
    <w:rsid w:val="0072411E"/>
    <w:rsid w:val="0073355B"/>
    <w:rsid w:val="00736080"/>
    <w:rsid w:val="007374AB"/>
    <w:rsid w:val="00737FC9"/>
    <w:rsid w:val="00743B99"/>
    <w:rsid w:val="0074463C"/>
    <w:rsid w:val="00746973"/>
    <w:rsid w:val="0074723A"/>
    <w:rsid w:val="007529CA"/>
    <w:rsid w:val="00755AA3"/>
    <w:rsid w:val="00761B07"/>
    <w:rsid w:val="00771C35"/>
    <w:rsid w:val="00777B44"/>
    <w:rsid w:val="007932D7"/>
    <w:rsid w:val="00795576"/>
    <w:rsid w:val="00795900"/>
    <w:rsid w:val="007B06CE"/>
    <w:rsid w:val="007B3A2D"/>
    <w:rsid w:val="007B4700"/>
    <w:rsid w:val="007C1043"/>
    <w:rsid w:val="007C2311"/>
    <w:rsid w:val="007C2F9C"/>
    <w:rsid w:val="007D0425"/>
    <w:rsid w:val="007D46E2"/>
    <w:rsid w:val="007E0CCA"/>
    <w:rsid w:val="007F16FC"/>
    <w:rsid w:val="007F1820"/>
    <w:rsid w:val="007F44A1"/>
    <w:rsid w:val="007F469B"/>
    <w:rsid w:val="007F4E6C"/>
    <w:rsid w:val="00801E77"/>
    <w:rsid w:val="008063C8"/>
    <w:rsid w:val="00807D35"/>
    <w:rsid w:val="00812655"/>
    <w:rsid w:val="008211B4"/>
    <w:rsid w:val="0082141A"/>
    <w:rsid w:val="00826076"/>
    <w:rsid w:val="00831761"/>
    <w:rsid w:val="0084534A"/>
    <w:rsid w:val="00854894"/>
    <w:rsid w:val="008567C9"/>
    <w:rsid w:val="00862C70"/>
    <w:rsid w:val="008649DA"/>
    <w:rsid w:val="008813F4"/>
    <w:rsid w:val="00881EA8"/>
    <w:rsid w:val="00883F29"/>
    <w:rsid w:val="0088685C"/>
    <w:rsid w:val="00887378"/>
    <w:rsid w:val="008878ED"/>
    <w:rsid w:val="0089059B"/>
    <w:rsid w:val="0089388D"/>
    <w:rsid w:val="00893A6E"/>
    <w:rsid w:val="00895313"/>
    <w:rsid w:val="008954D5"/>
    <w:rsid w:val="008959FA"/>
    <w:rsid w:val="00895F90"/>
    <w:rsid w:val="00896EF7"/>
    <w:rsid w:val="00896F08"/>
    <w:rsid w:val="008A299B"/>
    <w:rsid w:val="008A2C1D"/>
    <w:rsid w:val="008A5720"/>
    <w:rsid w:val="008B1969"/>
    <w:rsid w:val="008B69BA"/>
    <w:rsid w:val="008B7318"/>
    <w:rsid w:val="008C228E"/>
    <w:rsid w:val="008C434A"/>
    <w:rsid w:val="008C5E9E"/>
    <w:rsid w:val="008D28CF"/>
    <w:rsid w:val="008E1136"/>
    <w:rsid w:val="008E4636"/>
    <w:rsid w:val="008E6412"/>
    <w:rsid w:val="008F3A5D"/>
    <w:rsid w:val="0090572C"/>
    <w:rsid w:val="00906395"/>
    <w:rsid w:val="00910480"/>
    <w:rsid w:val="0092405E"/>
    <w:rsid w:val="00935081"/>
    <w:rsid w:val="00937616"/>
    <w:rsid w:val="00941584"/>
    <w:rsid w:val="009418E0"/>
    <w:rsid w:val="00944F03"/>
    <w:rsid w:val="009476FB"/>
    <w:rsid w:val="009517DB"/>
    <w:rsid w:val="00951C63"/>
    <w:rsid w:val="00952352"/>
    <w:rsid w:val="00955B2A"/>
    <w:rsid w:val="00960C61"/>
    <w:rsid w:val="00965D63"/>
    <w:rsid w:val="00966CE5"/>
    <w:rsid w:val="00966E94"/>
    <w:rsid w:val="00970473"/>
    <w:rsid w:val="00983C31"/>
    <w:rsid w:val="00983F29"/>
    <w:rsid w:val="00985509"/>
    <w:rsid w:val="00986257"/>
    <w:rsid w:val="009A123A"/>
    <w:rsid w:val="009A6025"/>
    <w:rsid w:val="009B4E6B"/>
    <w:rsid w:val="009B52F1"/>
    <w:rsid w:val="009B5C55"/>
    <w:rsid w:val="009C322E"/>
    <w:rsid w:val="009C3BBF"/>
    <w:rsid w:val="009C48E8"/>
    <w:rsid w:val="009C6066"/>
    <w:rsid w:val="009E613F"/>
    <w:rsid w:val="009F41E4"/>
    <w:rsid w:val="009F4383"/>
    <w:rsid w:val="009F4A16"/>
    <w:rsid w:val="009F5984"/>
    <w:rsid w:val="00A01F54"/>
    <w:rsid w:val="00A03F92"/>
    <w:rsid w:val="00A13439"/>
    <w:rsid w:val="00A14A05"/>
    <w:rsid w:val="00A17C44"/>
    <w:rsid w:val="00A21953"/>
    <w:rsid w:val="00A243FB"/>
    <w:rsid w:val="00A322FE"/>
    <w:rsid w:val="00A350B3"/>
    <w:rsid w:val="00A36E69"/>
    <w:rsid w:val="00A425AE"/>
    <w:rsid w:val="00A4373A"/>
    <w:rsid w:val="00A4400D"/>
    <w:rsid w:val="00A478C8"/>
    <w:rsid w:val="00A52666"/>
    <w:rsid w:val="00A54161"/>
    <w:rsid w:val="00A63745"/>
    <w:rsid w:val="00A71179"/>
    <w:rsid w:val="00A7454D"/>
    <w:rsid w:val="00A7514E"/>
    <w:rsid w:val="00A75FF8"/>
    <w:rsid w:val="00A808A5"/>
    <w:rsid w:val="00A80F8D"/>
    <w:rsid w:val="00A87613"/>
    <w:rsid w:val="00A91361"/>
    <w:rsid w:val="00A91C45"/>
    <w:rsid w:val="00A9367D"/>
    <w:rsid w:val="00A958B1"/>
    <w:rsid w:val="00A96B6B"/>
    <w:rsid w:val="00A96FAB"/>
    <w:rsid w:val="00AA0A2C"/>
    <w:rsid w:val="00AA4011"/>
    <w:rsid w:val="00AA6496"/>
    <w:rsid w:val="00AB226B"/>
    <w:rsid w:val="00AB4183"/>
    <w:rsid w:val="00AB7624"/>
    <w:rsid w:val="00AC3750"/>
    <w:rsid w:val="00AD4988"/>
    <w:rsid w:val="00AD5F06"/>
    <w:rsid w:val="00AE3CCF"/>
    <w:rsid w:val="00AE3D24"/>
    <w:rsid w:val="00AE5556"/>
    <w:rsid w:val="00AE61E1"/>
    <w:rsid w:val="00AE6513"/>
    <w:rsid w:val="00B0047F"/>
    <w:rsid w:val="00B00AD7"/>
    <w:rsid w:val="00B03D5D"/>
    <w:rsid w:val="00B06998"/>
    <w:rsid w:val="00B11821"/>
    <w:rsid w:val="00B11926"/>
    <w:rsid w:val="00B11C96"/>
    <w:rsid w:val="00B15944"/>
    <w:rsid w:val="00B16E73"/>
    <w:rsid w:val="00B17532"/>
    <w:rsid w:val="00B20C47"/>
    <w:rsid w:val="00B359A4"/>
    <w:rsid w:val="00B379A5"/>
    <w:rsid w:val="00B41D02"/>
    <w:rsid w:val="00B43CA5"/>
    <w:rsid w:val="00B44058"/>
    <w:rsid w:val="00B477F8"/>
    <w:rsid w:val="00B47CBB"/>
    <w:rsid w:val="00B50492"/>
    <w:rsid w:val="00B53874"/>
    <w:rsid w:val="00B53DDA"/>
    <w:rsid w:val="00B620A2"/>
    <w:rsid w:val="00B7399F"/>
    <w:rsid w:val="00B80895"/>
    <w:rsid w:val="00B81DBF"/>
    <w:rsid w:val="00B82E5D"/>
    <w:rsid w:val="00B87E6F"/>
    <w:rsid w:val="00B93391"/>
    <w:rsid w:val="00B9762B"/>
    <w:rsid w:val="00B97782"/>
    <w:rsid w:val="00BA1814"/>
    <w:rsid w:val="00BA1D39"/>
    <w:rsid w:val="00BA2CD9"/>
    <w:rsid w:val="00BB1A4A"/>
    <w:rsid w:val="00BB5E8D"/>
    <w:rsid w:val="00BC0FA3"/>
    <w:rsid w:val="00BF19CC"/>
    <w:rsid w:val="00BF57F7"/>
    <w:rsid w:val="00C024B8"/>
    <w:rsid w:val="00C03185"/>
    <w:rsid w:val="00C03CA8"/>
    <w:rsid w:val="00C230E7"/>
    <w:rsid w:val="00C27C6E"/>
    <w:rsid w:val="00C3237C"/>
    <w:rsid w:val="00C50768"/>
    <w:rsid w:val="00C5160F"/>
    <w:rsid w:val="00C51FC5"/>
    <w:rsid w:val="00C6167A"/>
    <w:rsid w:val="00C62719"/>
    <w:rsid w:val="00C635FA"/>
    <w:rsid w:val="00C6771D"/>
    <w:rsid w:val="00C73BEB"/>
    <w:rsid w:val="00C74DEC"/>
    <w:rsid w:val="00C77CA9"/>
    <w:rsid w:val="00C8499E"/>
    <w:rsid w:val="00C855D5"/>
    <w:rsid w:val="00C85D7C"/>
    <w:rsid w:val="00CA1FE6"/>
    <w:rsid w:val="00CA5B7E"/>
    <w:rsid w:val="00CB081E"/>
    <w:rsid w:val="00CB0E9F"/>
    <w:rsid w:val="00CB40BD"/>
    <w:rsid w:val="00CB448B"/>
    <w:rsid w:val="00CD1F06"/>
    <w:rsid w:val="00CD6165"/>
    <w:rsid w:val="00CD708B"/>
    <w:rsid w:val="00CD7283"/>
    <w:rsid w:val="00CD76E9"/>
    <w:rsid w:val="00CD7E74"/>
    <w:rsid w:val="00CE1A99"/>
    <w:rsid w:val="00CF1B41"/>
    <w:rsid w:val="00CF1B5E"/>
    <w:rsid w:val="00CF203F"/>
    <w:rsid w:val="00CF22FB"/>
    <w:rsid w:val="00D014EC"/>
    <w:rsid w:val="00D124F9"/>
    <w:rsid w:val="00D13E14"/>
    <w:rsid w:val="00D31246"/>
    <w:rsid w:val="00D351CE"/>
    <w:rsid w:val="00D36811"/>
    <w:rsid w:val="00D405CC"/>
    <w:rsid w:val="00D44B72"/>
    <w:rsid w:val="00D545C1"/>
    <w:rsid w:val="00D54E19"/>
    <w:rsid w:val="00D62D8F"/>
    <w:rsid w:val="00D6398A"/>
    <w:rsid w:val="00D662E2"/>
    <w:rsid w:val="00D71A78"/>
    <w:rsid w:val="00D74851"/>
    <w:rsid w:val="00D80CB8"/>
    <w:rsid w:val="00D83858"/>
    <w:rsid w:val="00D848BB"/>
    <w:rsid w:val="00D849B8"/>
    <w:rsid w:val="00D94F49"/>
    <w:rsid w:val="00D952CF"/>
    <w:rsid w:val="00D97CCA"/>
    <w:rsid w:val="00DA6FF5"/>
    <w:rsid w:val="00DB0869"/>
    <w:rsid w:val="00DB1AAF"/>
    <w:rsid w:val="00DB1CCD"/>
    <w:rsid w:val="00DB30C6"/>
    <w:rsid w:val="00DB6F01"/>
    <w:rsid w:val="00DC1B10"/>
    <w:rsid w:val="00DC28BD"/>
    <w:rsid w:val="00DC6157"/>
    <w:rsid w:val="00DD48CB"/>
    <w:rsid w:val="00DD6A9F"/>
    <w:rsid w:val="00DE0A9C"/>
    <w:rsid w:val="00DE1231"/>
    <w:rsid w:val="00DE3C4A"/>
    <w:rsid w:val="00DE52E0"/>
    <w:rsid w:val="00DF4284"/>
    <w:rsid w:val="00E047A0"/>
    <w:rsid w:val="00E057F6"/>
    <w:rsid w:val="00E077C8"/>
    <w:rsid w:val="00E122C3"/>
    <w:rsid w:val="00E206D2"/>
    <w:rsid w:val="00E3412B"/>
    <w:rsid w:val="00E436EA"/>
    <w:rsid w:val="00E44883"/>
    <w:rsid w:val="00E46044"/>
    <w:rsid w:val="00E56AF8"/>
    <w:rsid w:val="00E643FC"/>
    <w:rsid w:val="00E656BA"/>
    <w:rsid w:val="00E87B1D"/>
    <w:rsid w:val="00E9780C"/>
    <w:rsid w:val="00EA2330"/>
    <w:rsid w:val="00EB7FAE"/>
    <w:rsid w:val="00EC0045"/>
    <w:rsid w:val="00EC02C3"/>
    <w:rsid w:val="00ED68C4"/>
    <w:rsid w:val="00ED7FA9"/>
    <w:rsid w:val="00EE2994"/>
    <w:rsid w:val="00EE7648"/>
    <w:rsid w:val="00EF525F"/>
    <w:rsid w:val="00F0320E"/>
    <w:rsid w:val="00F038B2"/>
    <w:rsid w:val="00F05375"/>
    <w:rsid w:val="00F066A8"/>
    <w:rsid w:val="00F0791D"/>
    <w:rsid w:val="00F15398"/>
    <w:rsid w:val="00F2127E"/>
    <w:rsid w:val="00F30841"/>
    <w:rsid w:val="00F30D8C"/>
    <w:rsid w:val="00F31829"/>
    <w:rsid w:val="00F35905"/>
    <w:rsid w:val="00F3736E"/>
    <w:rsid w:val="00F37FDC"/>
    <w:rsid w:val="00F4186E"/>
    <w:rsid w:val="00F442A7"/>
    <w:rsid w:val="00F45864"/>
    <w:rsid w:val="00F549E4"/>
    <w:rsid w:val="00F571B2"/>
    <w:rsid w:val="00F60E0E"/>
    <w:rsid w:val="00F611CD"/>
    <w:rsid w:val="00F70330"/>
    <w:rsid w:val="00F7149C"/>
    <w:rsid w:val="00F7478D"/>
    <w:rsid w:val="00F805BC"/>
    <w:rsid w:val="00F826A6"/>
    <w:rsid w:val="00F93835"/>
    <w:rsid w:val="00F93F62"/>
    <w:rsid w:val="00F943ED"/>
    <w:rsid w:val="00F97261"/>
    <w:rsid w:val="00FA18B7"/>
    <w:rsid w:val="00FA27DA"/>
    <w:rsid w:val="00FA49E1"/>
    <w:rsid w:val="00FB054D"/>
    <w:rsid w:val="00FB388B"/>
    <w:rsid w:val="00FB43D1"/>
    <w:rsid w:val="00FD51D1"/>
    <w:rsid w:val="00FD7DA2"/>
    <w:rsid w:val="00FE25E5"/>
    <w:rsid w:val="00FF0608"/>
    <w:rsid w:val="00FF103B"/>
    <w:rsid w:val="00FF2242"/>
    <w:rsid w:val="00FF3C7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14:docId w14:val="225AD9FB"/>
  <w15:docId w15:val="{2E0D9D5D-D333-4EC4-A3E3-001588484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1" w:defUIPriority="99" w:defSemiHidden="0" w:defUnhideWhenUsed="0" w:defQFormat="0" w:count="372">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0" w:unhideWhenUsed="1" w:qFormat="1"/>
    <w:lsdException w:name="heading 5" w:locked="0" w:semiHidden="1" w:uiPriority="9" w:unhideWhenUsed="1" w:qFormat="1"/>
    <w:lsdException w:name="heading 6" w:locked="0" w:semiHidden="1" w:uiPriority="0" w:unhideWhenUsed="1" w:qFormat="1"/>
    <w:lsdException w:name="heading 7" w:locked="0" w:semiHidden="1" w:uiPriority="0" w:unhideWhenUsed="1" w:qFormat="1"/>
    <w:lsdException w:name="heading 8" w:locked="0" w:semiHidden="1" w:uiPriority="0" w:unhideWhenUsed="1" w:qFormat="1"/>
    <w:lsdException w:name="heading 9" w:locked="0"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qFormat="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nhideWhenUsed="1" w:qFormat="1"/>
    <w:lsdException w:name="table of figures" w:locked="0"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lsdException w:name="Emphasis" w:uiPriority="20"/>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locked="0" w:uiPriority="1"/>
    <w:lsdException w:name="Light Shading" w:uiPriority="60"/>
    <w:lsdException w:name="Light List" w:locked="0"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ocked="0"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ocked="0"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1" w:qFormat="1"/>
    <w:lsdException w:name="Intense Reference" w:uiPriority="32"/>
    <w:lsdException w:name="Book Title"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atentStyles>
  <w:style w:type="paragraph" w:default="1" w:styleId="Normal">
    <w:name w:val="Normal"/>
    <w:qFormat/>
    <w:rsid w:val="004F2CFB"/>
    <w:pPr>
      <w:spacing w:line="276" w:lineRule="auto"/>
      <w:contextualSpacing/>
      <w:jc w:val="both"/>
    </w:pPr>
    <w:rPr>
      <w:rFonts w:ascii="Cambria" w:hAnsi="Cambria"/>
      <w:sz w:val="22"/>
      <w:szCs w:val="22"/>
      <w:lang w:eastAsia="en-US"/>
    </w:rPr>
  </w:style>
  <w:style w:type="paragraph" w:styleId="Ttulo1">
    <w:name w:val="heading 1"/>
    <w:aliases w:val="Título 1-BCN,Edgar 1,Edgar 1 + Izquierda:  0 cm,Título 1_HTA,título 1"/>
    <w:basedOn w:val="Normal"/>
    <w:next w:val="Normal"/>
    <w:link w:val="Ttulo1Car"/>
    <w:uiPriority w:val="9"/>
    <w:qFormat/>
    <w:rsid w:val="00CD1F06"/>
    <w:pPr>
      <w:keepNext/>
      <w:numPr>
        <w:numId w:val="10"/>
      </w:numPr>
      <w:jc w:val="center"/>
      <w:outlineLvl w:val="0"/>
    </w:pPr>
    <w:rPr>
      <w:rFonts w:eastAsia="Times New Roman"/>
      <w:b/>
      <w:bCs/>
      <w:caps/>
      <w:kern w:val="32"/>
      <w:szCs w:val="32"/>
    </w:rPr>
  </w:style>
  <w:style w:type="paragraph" w:styleId="Ttulo2">
    <w:name w:val="heading 2"/>
    <w:aliases w:val="Edgar 2,título 2"/>
    <w:basedOn w:val="Ttulo1"/>
    <w:next w:val="Normal"/>
    <w:link w:val="Ttulo2Car"/>
    <w:uiPriority w:val="9"/>
    <w:unhideWhenUsed/>
    <w:qFormat/>
    <w:rsid w:val="00CD1F06"/>
    <w:pPr>
      <w:numPr>
        <w:ilvl w:val="1"/>
      </w:numPr>
      <w:jc w:val="left"/>
      <w:outlineLvl w:val="1"/>
    </w:pPr>
  </w:style>
  <w:style w:type="paragraph" w:styleId="Ttulo3">
    <w:name w:val="heading 3"/>
    <w:basedOn w:val="Ttulo1"/>
    <w:next w:val="Normal"/>
    <w:link w:val="Ttulo3Car"/>
    <w:uiPriority w:val="9"/>
    <w:unhideWhenUsed/>
    <w:qFormat/>
    <w:rsid w:val="007F16FC"/>
    <w:pPr>
      <w:numPr>
        <w:ilvl w:val="2"/>
      </w:numPr>
      <w:ind w:left="426" w:firstLine="0"/>
      <w:jc w:val="left"/>
      <w:outlineLvl w:val="2"/>
    </w:pPr>
    <w:rPr>
      <w:caps w:val="0"/>
    </w:rPr>
  </w:style>
  <w:style w:type="paragraph" w:styleId="Ttulo4">
    <w:name w:val="heading 4"/>
    <w:aliases w:val="Título 4 - BCN,4 dash,d,3"/>
    <w:basedOn w:val="Normal"/>
    <w:next w:val="Normal"/>
    <w:link w:val="Ttulo4Car"/>
    <w:unhideWhenUsed/>
    <w:qFormat/>
    <w:rsid w:val="000B1514"/>
    <w:pPr>
      <w:keepNext/>
      <w:numPr>
        <w:numId w:val="2"/>
      </w:numPr>
      <w:outlineLvl w:val="3"/>
    </w:pPr>
    <w:rPr>
      <w:rFonts w:eastAsia="Times New Roman"/>
      <w:bCs/>
      <w:szCs w:val="28"/>
      <w:u w:val="single"/>
    </w:rPr>
  </w:style>
  <w:style w:type="paragraph" w:styleId="Ttulo5">
    <w:name w:val="heading 5"/>
    <w:basedOn w:val="Normal"/>
    <w:next w:val="Normal"/>
    <w:link w:val="Ttulo5Car"/>
    <w:uiPriority w:val="9"/>
    <w:unhideWhenUsed/>
    <w:qFormat/>
    <w:rsid w:val="000B1514"/>
    <w:pPr>
      <w:numPr>
        <w:numId w:val="3"/>
      </w:numPr>
      <w:outlineLvl w:val="4"/>
    </w:pPr>
    <w:rPr>
      <w:rFonts w:eastAsia="Times New Roman"/>
      <w:bCs/>
      <w:i/>
      <w:iCs/>
      <w:szCs w:val="26"/>
    </w:rPr>
  </w:style>
  <w:style w:type="paragraph" w:styleId="Ttulo6">
    <w:name w:val="heading 6"/>
    <w:basedOn w:val="Normal"/>
    <w:next w:val="Normal"/>
    <w:link w:val="Ttulo6Car"/>
    <w:unhideWhenUsed/>
    <w:qFormat/>
    <w:rsid w:val="000B1514"/>
    <w:pPr>
      <w:numPr>
        <w:numId w:val="4"/>
      </w:numPr>
      <w:outlineLvl w:val="5"/>
    </w:pPr>
    <w:rPr>
      <w:rFonts w:eastAsia="Times New Roman"/>
      <w:bCs/>
    </w:rPr>
  </w:style>
  <w:style w:type="paragraph" w:styleId="Ttulo7">
    <w:name w:val="heading 7"/>
    <w:basedOn w:val="Normal"/>
    <w:next w:val="Normal"/>
    <w:link w:val="Ttulo7Car"/>
    <w:unhideWhenUsed/>
    <w:qFormat/>
    <w:rsid w:val="000B1514"/>
    <w:pPr>
      <w:numPr>
        <w:numId w:val="5"/>
      </w:numPr>
      <w:outlineLvl w:val="6"/>
    </w:pPr>
    <w:rPr>
      <w:rFonts w:eastAsia="Times New Roman"/>
      <w:szCs w:val="24"/>
    </w:rPr>
  </w:style>
  <w:style w:type="paragraph" w:styleId="Ttulo8">
    <w:name w:val="heading 8"/>
    <w:basedOn w:val="Normal"/>
    <w:next w:val="Normal"/>
    <w:link w:val="Ttulo8Car"/>
    <w:unhideWhenUsed/>
    <w:qFormat/>
    <w:rsid w:val="000B1514"/>
    <w:pPr>
      <w:numPr>
        <w:numId w:val="6"/>
      </w:numPr>
      <w:ind w:left="714" w:hanging="357"/>
      <w:outlineLvl w:val="7"/>
    </w:pPr>
    <w:rPr>
      <w:rFonts w:eastAsia="Times New Roman"/>
      <w:iCs/>
      <w:szCs w:val="24"/>
    </w:rPr>
  </w:style>
  <w:style w:type="paragraph" w:styleId="Ttulo9">
    <w:name w:val="heading 9"/>
    <w:basedOn w:val="Normal"/>
    <w:next w:val="Normal"/>
    <w:link w:val="Ttulo9Car"/>
    <w:unhideWhenUsed/>
    <w:qFormat/>
    <w:rsid w:val="000B1514"/>
    <w:pPr>
      <w:spacing w:before="240" w:after="60"/>
      <w:outlineLvl w:val="8"/>
    </w:pPr>
    <w:rPr>
      <w:rFonts w:eastAsia="Times New Roman"/>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BCN Car,Edgar 1 Car,Edgar 1 + Izquierda:  0 cm Car,Título 1_HTA Car,título 1 Car"/>
    <w:link w:val="Ttulo1"/>
    <w:uiPriority w:val="9"/>
    <w:rsid w:val="00CD1F06"/>
    <w:rPr>
      <w:rFonts w:ascii="Cambria" w:eastAsia="Times New Roman" w:hAnsi="Cambria"/>
      <w:b/>
      <w:bCs/>
      <w:caps/>
      <w:kern w:val="32"/>
      <w:sz w:val="22"/>
      <w:szCs w:val="32"/>
      <w:lang w:eastAsia="en-US"/>
    </w:rPr>
  </w:style>
  <w:style w:type="character" w:customStyle="1" w:styleId="Ttulo2Car">
    <w:name w:val="Título 2 Car"/>
    <w:aliases w:val="Edgar 2 Car,título 2 Car"/>
    <w:link w:val="Ttulo2"/>
    <w:uiPriority w:val="9"/>
    <w:rsid w:val="00CD1F06"/>
    <w:rPr>
      <w:rFonts w:ascii="Cambria" w:eastAsia="Times New Roman" w:hAnsi="Cambria"/>
      <w:b/>
      <w:bCs/>
      <w:caps/>
      <w:kern w:val="32"/>
      <w:sz w:val="22"/>
      <w:szCs w:val="32"/>
      <w:lang w:eastAsia="en-US"/>
    </w:rPr>
  </w:style>
  <w:style w:type="character" w:customStyle="1" w:styleId="Ttulo3Car">
    <w:name w:val="Título 3 Car"/>
    <w:link w:val="Ttulo3"/>
    <w:uiPriority w:val="9"/>
    <w:rsid w:val="007F16FC"/>
    <w:rPr>
      <w:rFonts w:ascii="Cambria" w:eastAsia="Times New Roman" w:hAnsi="Cambria"/>
      <w:b/>
      <w:bCs/>
      <w:kern w:val="32"/>
      <w:sz w:val="22"/>
      <w:szCs w:val="32"/>
      <w:lang w:eastAsia="en-US"/>
    </w:rPr>
  </w:style>
  <w:style w:type="character" w:customStyle="1" w:styleId="Ttulo4Car">
    <w:name w:val="Título 4 Car"/>
    <w:aliases w:val="Título 4 - BCN Car,4 dash Car,d Car,3 Car"/>
    <w:link w:val="Ttulo4"/>
    <w:rsid w:val="000B1514"/>
    <w:rPr>
      <w:rFonts w:ascii="Cambria" w:eastAsia="Times New Roman" w:hAnsi="Cambria"/>
      <w:bCs/>
      <w:sz w:val="22"/>
      <w:szCs w:val="28"/>
      <w:u w:val="single"/>
      <w:lang w:eastAsia="en-US"/>
    </w:rPr>
  </w:style>
  <w:style w:type="character" w:customStyle="1" w:styleId="Ttulo5Car">
    <w:name w:val="Título 5 Car"/>
    <w:link w:val="Ttulo5"/>
    <w:uiPriority w:val="9"/>
    <w:rsid w:val="000B1514"/>
    <w:rPr>
      <w:rFonts w:ascii="Cambria" w:eastAsia="Times New Roman" w:hAnsi="Cambria"/>
      <w:bCs/>
      <w:i/>
      <w:iCs/>
      <w:sz w:val="22"/>
      <w:szCs w:val="26"/>
      <w:lang w:eastAsia="en-US"/>
    </w:rPr>
  </w:style>
  <w:style w:type="character" w:customStyle="1" w:styleId="Ttulo6Car">
    <w:name w:val="Título 6 Car"/>
    <w:link w:val="Ttulo6"/>
    <w:rsid w:val="000B1514"/>
    <w:rPr>
      <w:rFonts w:ascii="Cambria" w:eastAsia="Times New Roman" w:hAnsi="Cambria"/>
      <w:bCs/>
      <w:sz w:val="22"/>
      <w:szCs w:val="22"/>
      <w:lang w:eastAsia="en-US"/>
    </w:rPr>
  </w:style>
  <w:style w:type="character" w:customStyle="1" w:styleId="Ttulo7Car">
    <w:name w:val="Título 7 Car"/>
    <w:link w:val="Ttulo7"/>
    <w:rsid w:val="000B1514"/>
    <w:rPr>
      <w:rFonts w:ascii="Cambria" w:eastAsia="Times New Roman" w:hAnsi="Cambria"/>
      <w:sz w:val="22"/>
      <w:szCs w:val="24"/>
      <w:lang w:eastAsia="en-US"/>
    </w:rPr>
  </w:style>
  <w:style w:type="character" w:customStyle="1" w:styleId="Ttulo8Car">
    <w:name w:val="Título 8 Car"/>
    <w:link w:val="Ttulo8"/>
    <w:rsid w:val="000B1514"/>
    <w:rPr>
      <w:rFonts w:ascii="Cambria" w:eastAsia="Times New Roman" w:hAnsi="Cambria"/>
      <w:iCs/>
      <w:sz w:val="22"/>
      <w:szCs w:val="24"/>
      <w:lang w:eastAsia="en-US"/>
    </w:rPr>
  </w:style>
  <w:style w:type="character" w:customStyle="1" w:styleId="Ttulo9Car">
    <w:name w:val="Título 9 Car"/>
    <w:link w:val="Ttulo9"/>
    <w:rsid w:val="000B1514"/>
    <w:rPr>
      <w:rFonts w:ascii="Cambria" w:eastAsia="Times New Roman" w:hAnsi="Cambria" w:cs="Times New Roman"/>
      <w:sz w:val="22"/>
      <w:szCs w:val="22"/>
      <w:lang w:eastAsia="en-US"/>
    </w:rPr>
  </w:style>
  <w:style w:type="paragraph" w:styleId="Sinespaciado">
    <w:name w:val="No Spacing"/>
    <w:link w:val="SinespaciadoCar"/>
    <w:uiPriority w:val="1"/>
    <w:locked/>
    <w:rsid w:val="002D46A6"/>
    <w:rPr>
      <w:rFonts w:eastAsia="Times New Roman"/>
      <w:sz w:val="22"/>
      <w:szCs w:val="22"/>
    </w:rPr>
  </w:style>
  <w:style w:type="character" w:customStyle="1" w:styleId="SinespaciadoCar">
    <w:name w:val="Sin espaciado Car"/>
    <w:link w:val="Sinespaciado"/>
    <w:uiPriority w:val="1"/>
    <w:rsid w:val="002D46A6"/>
    <w:rPr>
      <w:rFonts w:eastAsia="Times New Roman"/>
      <w:sz w:val="22"/>
      <w:szCs w:val="22"/>
    </w:rPr>
  </w:style>
  <w:style w:type="paragraph" w:styleId="Textodeglobo">
    <w:name w:val="Balloon Text"/>
    <w:basedOn w:val="Normal"/>
    <w:link w:val="TextodegloboCar"/>
    <w:uiPriority w:val="99"/>
    <w:unhideWhenUsed/>
    <w:locked/>
    <w:rsid w:val="002D46A6"/>
    <w:rPr>
      <w:rFonts w:ascii="Tahoma" w:hAnsi="Tahoma" w:cs="Tahoma"/>
      <w:sz w:val="16"/>
      <w:szCs w:val="16"/>
    </w:rPr>
  </w:style>
  <w:style w:type="character" w:customStyle="1" w:styleId="TextodegloboCar">
    <w:name w:val="Texto de globo Car"/>
    <w:link w:val="Textodeglobo"/>
    <w:uiPriority w:val="99"/>
    <w:rsid w:val="002D46A6"/>
    <w:rPr>
      <w:rFonts w:ascii="Tahoma" w:hAnsi="Tahoma" w:cs="Tahoma"/>
      <w:sz w:val="16"/>
      <w:szCs w:val="16"/>
      <w:lang w:eastAsia="en-US"/>
    </w:rPr>
  </w:style>
  <w:style w:type="paragraph" w:styleId="TtuloTDC">
    <w:name w:val="TOC Heading"/>
    <w:basedOn w:val="Ttulo1"/>
    <w:next w:val="Normal"/>
    <w:uiPriority w:val="39"/>
    <w:unhideWhenUsed/>
    <w:qFormat/>
    <w:locked/>
    <w:rsid w:val="00F97261"/>
    <w:pPr>
      <w:keepLines/>
      <w:outlineLvl w:val="9"/>
    </w:pPr>
    <w:rPr>
      <w:kern w:val="0"/>
      <w:szCs w:val="28"/>
      <w:lang w:eastAsia="es-CO"/>
    </w:rPr>
  </w:style>
  <w:style w:type="paragraph" w:styleId="Encabezado">
    <w:name w:val="header"/>
    <w:aliases w:val="encabezado,Encabezado Car Car,Encabezado Car Car Car Car Car,Encabezado Car Car Car Car,Encabezado2,Haut de page"/>
    <w:basedOn w:val="Normal"/>
    <w:link w:val="EncabezadoCar"/>
    <w:uiPriority w:val="99"/>
    <w:unhideWhenUsed/>
    <w:locked/>
    <w:rsid w:val="002D46A6"/>
    <w:pPr>
      <w:tabs>
        <w:tab w:val="center" w:pos="4419"/>
        <w:tab w:val="right" w:pos="8838"/>
      </w:tabs>
    </w:pPr>
  </w:style>
  <w:style w:type="character" w:customStyle="1" w:styleId="EncabezadoCar">
    <w:name w:val="Encabezado Car"/>
    <w:aliases w:val="encabezado Car,Encabezado Car Car Car,Encabezado Car Car Car Car Car Car,Encabezado Car Car Car Car Car1,Encabezado2 Car,Haut de page Car"/>
    <w:link w:val="Encabezado"/>
    <w:uiPriority w:val="99"/>
    <w:rsid w:val="002D46A6"/>
    <w:rPr>
      <w:sz w:val="22"/>
      <w:szCs w:val="22"/>
      <w:lang w:eastAsia="en-US"/>
    </w:rPr>
  </w:style>
  <w:style w:type="paragraph" w:styleId="Piedepgina">
    <w:name w:val="footer"/>
    <w:basedOn w:val="Normal"/>
    <w:link w:val="PiedepginaCar"/>
    <w:uiPriority w:val="99"/>
    <w:unhideWhenUsed/>
    <w:locked/>
    <w:rsid w:val="002D46A6"/>
    <w:pPr>
      <w:tabs>
        <w:tab w:val="center" w:pos="4419"/>
        <w:tab w:val="right" w:pos="8838"/>
      </w:tabs>
    </w:pPr>
  </w:style>
  <w:style w:type="character" w:customStyle="1" w:styleId="PiedepginaCar">
    <w:name w:val="Pie de página Car"/>
    <w:link w:val="Piedepgina"/>
    <w:uiPriority w:val="99"/>
    <w:rsid w:val="002D46A6"/>
    <w:rPr>
      <w:sz w:val="22"/>
      <w:szCs w:val="22"/>
      <w:lang w:eastAsia="en-US"/>
    </w:rPr>
  </w:style>
  <w:style w:type="table" w:styleId="Tablaconcuadrcula">
    <w:name w:val="Table Grid"/>
    <w:basedOn w:val="Tablanormal"/>
    <w:uiPriority w:val="39"/>
    <w:locked/>
    <w:rsid w:val="002D4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dos">
    <w:name w:val="Encabezados"/>
    <w:basedOn w:val="Encabezado"/>
    <w:next w:val="Normal"/>
    <w:link w:val="EncabezadosCar"/>
    <w:qFormat/>
    <w:locked/>
    <w:rsid w:val="004F2CFB"/>
    <w:pPr>
      <w:jc w:val="center"/>
    </w:pPr>
    <w:rPr>
      <w:rFonts w:ascii="Arial Negrita" w:hAnsi="Arial Negrita" w:cs="Arial"/>
      <w:b/>
      <w:bCs/>
      <w:caps/>
      <w:color w:val="222222"/>
      <w:sz w:val="16"/>
      <w:szCs w:val="16"/>
      <w:shd w:val="clear" w:color="auto" w:fill="FFFFFF"/>
    </w:rPr>
  </w:style>
  <w:style w:type="character" w:customStyle="1" w:styleId="EncabezadosCar">
    <w:name w:val="Encabezados Car"/>
    <w:link w:val="Encabezados"/>
    <w:rsid w:val="004F2CFB"/>
    <w:rPr>
      <w:rFonts w:ascii="Arial Negrita" w:hAnsi="Arial Negrita" w:cs="Arial"/>
      <w:b/>
      <w:bCs/>
      <w:caps/>
      <w:color w:val="222222"/>
      <w:sz w:val="16"/>
      <w:szCs w:val="16"/>
      <w:lang w:eastAsia="en-US"/>
    </w:rPr>
  </w:style>
  <w:style w:type="paragraph" w:customStyle="1" w:styleId="PiePagina">
    <w:name w:val="PiePagina"/>
    <w:basedOn w:val="Piedepgina"/>
    <w:next w:val="Normal"/>
    <w:link w:val="PiePaginaCar"/>
    <w:qFormat/>
    <w:rsid w:val="002D46A6"/>
    <w:pPr>
      <w:jc w:val="center"/>
    </w:pPr>
    <w:rPr>
      <w:rFonts w:ascii="Times New Roman" w:hAnsi="Times New Roman"/>
      <w:b/>
      <w:caps/>
      <w:sz w:val="16"/>
      <w:szCs w:val="16"/>
    </w:rPr>
  </w:style>
  <w:style w:type="character" w:customStyle="1" w:styleId="PiePaginaCar">
    <w:name w:val="PiePagina Car"/>
    <w:link w:val="PiePagina"/>
    <w:rsid w:val="002D46A6"/>
    <w:rPr>
      <w:rFonts w:ascii="Times New Roman" w:hAnsi="Times New Roman"/>
      <w:b/>
      <w:caps/>
      <w:sz w:val="16"/>
      <w:szCs w:val="16"/>
      <w:lang w:eastAsia="en-US"/>
    </w:rPr>
  </w:style>
  <w:style w:type="paragraph" w:customStyle="1" w:styleId="Notas">
    <w:name w:val="Notas"/>
    <w:basedOn w:val="PiePagina"/>
    <w:next w:val="Normal"/>
    <w:link w:val="NotasCar"/>
    <w:qFormat/>
    <w:rsid w:val="002D46A6"/>
    <w:rPr>
      <w:b w:val="0"/>
      <w:caps w:val="0"/>
    </w:rPr>
  </w:style>
  <w:style w:type="character" w:customStyle="1" w:styleId="NotasCar">
    <w:name w:val="Notas Car"/>
    <w:link w:val="Notas"/>
    <w:rsid w:val="002D46A6"/>
    <w:rPr>
      <w:rFonts w:ascii="Times New Roman" w:hAnsi="Times New Roman"/>
      <w:b w:val="0"/>
      <w:caps w:val="0"/>
      <w:sz w:val="16"/>
      <w:szCs w:val="16"/>
      <w:lang w:eastAsia="en-US"/>
    </w:rPr>
  </w:style>
  <w:style w:type="paragraph" w:customStyle="1" w:styleId="EstiloTtulo3ttulo3Ttulo3AALEdgar3111Ttulo3Ttulo3">
    <w:name w:val="Estilo Título 3título 3Título 3 AALEdgar 31.1.1Título 3Título 3..."/>
    <w:basedOn w:val="Normal"/>
    <w:locked/>
    <w:rsid w:val="002D46A6"/>
    <w:pPr>
      <w:numPr>
        <w:ilvl w:val="2"/>
        <w:numId w:val="1"/>
      </w:numPr>
    </w:pPr>
  </w:style>
  <w:style w:type="paragraph" w:styleId="TDC1">
    <w:name w:val="toc 1"/>
    <w:basedOn w:val="Normal"/>
    <w:next w:val="Normal"/>
    <w:autoRedefine/>
    <w:uiPriority w:val="39"/>
    <w:unhideWhenUsed/>
    <w:locked/>
    <w:rsid w:val="009418E0"/>
    <w:pPr>
      <w:jc w:val="left"/>
    </w:pPr>
    <w:rPr>
      <w:bCs/>
      <w:iCs/>
      <w:caps/>
      <w:szCs w:val="24"/>
    </w:rPr>
  </w:style>
  <w:style w:type="paragraph" w:styleId="TDC2">
    <w:name w:val="toc 2"/>
    <w:basedOn w:val="Normal"/>
    <w:next w:val="Normal"/>
    <w:autoRedefine/>
    <w:uiPriority w:val="39"/>
    <w:unhideWhenUsed/>
    <w:locked/>
    <w:rsid w:val="009418E0"/>
    <w:pPr>
      <w:ind w:left="221"/>
      <w:jc w:val="left"/>
    </w:pPr>
    <w:rPr>
      <w:bCs/>
    </w:rPr>
  </w:style>
  <w:style w:type="paragraph" w:styleId="TDC3">
    <w:name w:val="toc 3"/>
    <w:basedOn w:val="Normal"/>
    <w:next w:val="Normal"/>
    <w:autoRedefine/>
    <w:uiPriority w:val="39"/>
    <w:unhideWhenUsed/>
    <w:locked/>
    <w:rsid w:val="009418E0"/>
    <w:pPr>
      <w:ind w:left="442"/>
      <w:jc w:val="left"/>
    </w:pPr>
    <w:rPr>
      <w:szCs w:val="20"/>
    </w:rPr>
  </w:style>
  <w:style w:type="character" w:styleId="Hipervnculo">
    <w:name w:val="Hyperlink"/>
    <w:uiPriority w:val="99"/>
    <w:unhideWhenUsed/>
    <w:locked/>
    <w:rsid w:val="000B1514"/>
    <w:rPr>
      <w:color w:val="0000FF"/>
      <w:u w:val="single"/>
    </w:rPr>
  </w:style>
  <w:style w:type="paragraph" w:styleId="Ttulo">
    <w:name w:val="Title"/>
    <w:basedOn w:val="Normal"/>
    <w:next w:val="Normal"/>
    <w:link w:val="TtuloCar"/>
    <w:uiPriority w:val="10"/>
    <w:qFormat/>
    <w:locked/>
    <w:rsid w:val="000B1514"/>
    <w:pPr>
      <w:spacing w:before="240" w:after="60"/>
      <w:jc w:val="center"/>
      <w:outlineLvl w:val="0"/>
    </w:pPr>
    <w:rPr>
      <w:rFonts w:eastAsia="Times New Roman"/>
      <w:b/>
      <w:bCs/>
      <w:caps/>
      <w:kern w:val="28"/>
      <w:szCs w:val="32"/>
    </w:rPr>
  </w:style>
  <w:style w:type="character" w:customStyle="1" w:styleId="TtuloCar">
    <w:name w:val="Título Car"/>
    <w:link w:val="Ttulo"/>
    <w:uiPriority w:val="10"/>
    <w:rsid w:val="000B1514"/>
    <w:rPr>
      <w:rFonts w:ascii="Cambria" w:eastAsia="Times New Roman" w:hAnsi="Cambria" w:cs="Times New Roman"/>
      <w:b/>
      <w:bCs/>
      <w:caps/>
      <w:kern w:val="28"/>
      <w:sz w:val="22"/>
      <w:szCs w:val="32"/>
      <w:lang w:eastAsia="en-US"/>
    </w:rPr>
  </w:style>
  <w:style w:type="paragraph" w:styleId="TDC4">
    <w:name w:val="toc 4"/>
    <w:basedOn w:val="Normal"/>
    <w:next w:val="Normal"/>
    <w:autoRedefine/>
    <w:uiPriority w:val="39"/>
    <w:unhideWhenUsed/>
    <w:locked/>
    <w:rsid w:val="000B1514"/>
    <w:pPr>
      <w:ind w:left="660"/>
      <w:jc w:val="left"/>
    </w:pPr>
    <w:rPr>
      <w:rFonts w:ascii="Calibri" w:hAnsi="Calibri"/>
      <w:sz w:val="20"/>
      <w:szCs w:val="20"/>
    </w:rPr>
  </w:style>
  <w:style w:type="paragraph" w:styleId="TDC5">
    <w:name w:val="toc 5"/>
    <w:basedOn w:val="Normal"/>
    <w:next w:val="Normal"/>
    <w:autoRedefine/>
    <w:uiPriority w:val="39"/>
    <w:unhideWhenUsed/>
    <w:locked/>
    <w:rsid w:val="000B1514"/>
    <w:pPr>
      <w:ind w:left="880"/>
      <w:jc w:val="left"/>
    </w:pPr>
    <w:rPr>
      <w:rFonts w:ascii="Calibri" w:hAnsi="Calibri"/>
      <w:sz w:val="20"/>
      <w:szCs w:val="20"/>
    </w:rPr>
  </w:style>
  <w:style w:type="paragraph" w:styleId="TDC6">
    <w:name w:val="toc 6"/>
    <w:basedOn w:val="Normal"/>
    <w:next w:val="Normal"/>
    <w:autoRedefine/>
    <w:uiPriority w:val="39"/>
    <w:unhideWhenUsed/>
    <w:locked/>
    <w:rsid w:val="000B1514"/>
    <w:pPr>
      <w:ind w:left="1100"/>
      <w:jc w:val="left"/>
    </w:pPr>
    <w:rPr>
      <w:rFonts w:ascii="Calibri" w:hAnsi="Calibri"/>
      <w:sz w:val="20"/>
      <w:szCs w:val="20"/>
    </w:rPr>
  </w:style>
  <w:style w:type="paragraph" w:styleId="TDC7">
    <w:name w:val="toc 7"/>
    <w:basedOn w:val="Normal"/>
    <w:next w:val="Normal"/>
    <w:autoRedefine/>
    <w:uiPriority w:val="39"/>
    <w:unhideWhenUsed/>
    <w:locked/>
    <w:rsid w:val="000B1514"/>
    <w:pPr>
      <w:ind w:left="1320"/>
      <w:jc w:val="left"/>
    </w:pPr>
    <w:rPr>
      <w:rFonts w:ascii="Calibri" w:hAnsi="Calibri"/>
      <w:sz w:val="20"/>
      <w:szCs w:val="20"/>
    </w:rPr>
  </w:style>
  <w:style w:type="paragraph" w:styleId="TDC8">
    <w:name w:val="toc 8"/>
    <w:basedOn w:val="Normal"/>
    <w:next w:val="Normal"/>
    <w:autoRedefine/>
    <w:uiPriority w:val="39"/>
    <w:unhideWhenUsed/>
    <w:locked/>
    <w:rsid w:val="000B1514"/>
    <w:pPr>
      <w:ind w:left="1540"/>
      <w:jc w:val="left"/>
    </w:pPr>
    <w:rPr>
      <w:rFonts w:ascii="Calibri" w:hAnsi="Calibri"/>
      <w:sz w:val="20"/>
      <w:szCs w:val="20"/>
    </w:rPr>
  </w:style>
  <w:style w:type="paragraph" w:styleId="TDC9">
    <w:name w:val="toc 9"/>
    <w:basedOn w:val="Normal"/>
    <w:next w:val="Normal"/>
    <w:autoRedefine/>
    <w:uiPriority w:val="39"/>
    <w:unhideWhenUsed/>
    <w:locked/>
    <w:rsid w:val="000B1514"/>
    <w:pPr>
      <w:ind w:left="1760"/>
      <w:jc w:val="left"/>
    </w:pPr>
    <w:rPr>
      <w:rFonts w:ascii="Calibri" w:hAnsi="Calibri"/>
      <w:sz w:val="20"/>
      <w:szCs w:val="20"/>
    </w:rPr>
  </w:style>
  <w:style w:type="paragraph" w:styleId="Descripcin">
    <w:name w:val="caption"/>
    <w:aliases w:val="Epígrafe Car1,Epígrafe Car2,Epígrafe Car3,Epígrafe Car4,Epígrafe Car5,Epígrafe Car6,Epígrafe Car7,Epígrafe Car8,Epígrafe Car9,Epígrafe Car11,Epígrafe Car21,Epígrafe Car31,Epígrafe Car41,Epígrafe Car51,Epígrafe Car61,Epígrafe Car71,Car,A Car"/>
    <w:basedOn w:val="Normal"/>
    <w:next w:val="Normal"/>
    <w:link w:val="DescripcinCar"/>
    <w:uiPriority w:val="99"/>
    <w:unhideWhenUsed/>
    <w:qFormat/>
    <w:locked/>
    <w:rsid w:val="00F97261"/>
    <w:rPr>
      <w:b/>
      <w:bCs/>
      <w:sz w:val="20"/>
      <w:szCs w:val="20"/>
    </w:rPr>
  </w:style>
  <w:style w:type="character" w:customStyle="1" w:styleId="DescripcinCar">
    <w:name w:val="Descripción Car"/>
    <w:aliases w:val="Epígrafe Car1 Car,Epígrafe Car2 Car,Epígrafe Car3 Car,Epígrafe Car4 Car,Epígrafe Car5 Car,Epígrafe Car6 Car,Epígrafe Car7 Car,Epígrafe Car8 Car,Epígrafe Car9 Car,Epígrafe Car11 Car,Epígrafe Car21 Car,Epígrafe Car31 Car,Epígrafe Car41 Car"/>
    <w:basedOn w:val="Fuentedeprrafopredeter"/>
    <w:link w:val="Descripcin"/>
    <w:rsid w:val="008C434A"/>
    <w:rPr>
      <w:rFonts w:ascii="Cambria" w:hAnsi="Cambria"/>
      <w:b/>
      <w:bCs/>
      <w:lang w:eastAsia="en-US"/>
    </w:rPr>
  </w:style>
  <w:style w:type="paragraph" w:styleId="Tabladeilustraciones">
    <w:name w:val="table of figures"/>
    <w:aliases w:val="Indice de tablas"/>
    <w:basedOn w:val="Normal"/>
    <w:next w:val="Normal"/>
    <w:uiPriority w:val="99"/>
    <w:unhideWhenUsed/>
    <w:locked/>
    <w:rsid w:val="00F97261"/>
  </w:style>
  <w:style w:type="paragraph" w:styleId="Bibliografa">
    <w:name w:val="Bibliography"/>
    <w:basedOn w:val="Normal"/>
    <w:next w:val="Normal"/>
    <w:uiPriority w:val="37"/>
    <w:unhideWhenUsed/>
    <w:rsid w:val="009418E0"/>
  </w:style>
  <w:style w:type="paragraph" w:customStyle="1" w:styleId="PortadaDocumento">
    <w:name w:val="PortadaDocumento"/>
    <w:basedOn w:val="Sinespaciado"/>
    <w:next w:val="Normal"/>
    <w:link w:val="PortadaDocumentoCar"/>
    <w:qFormat/>
    <w:rsid w:val="00B82E5D"/>
    <w:pPr>
      <w:jc w:val="center"/>
    </w:pPr>
    <w:rPr>
      <w:rFonts w:ascii="Cambria" w:hAnsi="Cambria" w:cs="Arial"/>
      <w:b/>
      <w:bCs/>
      <w:color w:val="222222"/>
      <w:shd w:val="clear" w:color="auto" w:fill="FFFFFF"/>
      <w:lang w:eastAsia="en-US"/>
    </w:rPr>
  </w:style>
  <w:style w:type="character" w:customStyle="1" w:styleId="PortadaDocumentoCar">
    <w:name w:val="PortadaDocumento Car"/>
    <w:link w:val="PortadaDocumento"/>
    <w:rsid w:val="00B82E5D"/>
    <w:rPr>
      <w:rFonts w:ascii="Cambria" w:eastAsia="Times New Roman" w:hAnsi="Cambria" w:cs="Arial"/>
      <w:b/>
      <w:bCs/>
      <w:color w:val="222222"/>
      <w:sz w:val="22"/>
      <w:szCs w:val="22"/>
      <w:lang w:eastAsia="en-US"/>
    </w:rPr>
  </w:style>
  <w:style w:type="table" w:styleId="Listaclara-nfasis1">
    <w:name w:val="Light List Accent 1"/>
    <w:basedOn w:val="Tablanormal"/>
    <w:uiPriority w:val="61"/>
    <w:locked/>
    <w:rsid w:val="007F4E6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
    <w:name w:val="Light List"/>
    <w:basedOn w:val="Tablanormal"/>
    <w:uiPriority w:val="61"/>
    <w:locked/>
    <w:rsid w:val="00F05375"/>
    <w:pPr>
      <w:jc w:val="center"/>
    </w:pPr>
    <w:rPr>
      <w:sz w:val="22"/>
      <w14:glow w14:rad="0">
        <w14:schemeClr w14:val="tx1"/>
      </w14:glow>
    </w:rPr>
    <w:tblPr>
      <w:tblStyleRowBandSize w:val="1"/>
      <w:tblStyleColBandSize w:val="1"/>
      <w:tblBorders>
        <w:top w:val="single" w:sz="8" w:space="0" w:color="000000"/>
        <w:left w:val="single" w:sz="8" w:space="0" w:color="000000"/>
        <w:bottom w:val="single" w:sz="8" w:space="0" w:color="000000"/>
        <w:right w:val="single" w:sz="8" w:space="0" w:color="000000"/>
      </w:tblBorders>
    </w:tblPr>
    <w:tcPr>
      <w:vAlign w:val="center"/>
    </w:tc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nfasis2">
    <w:name w:val="Light List Accent 2"/>
    <w:basedOn w:val="Tablanormal"/>
    <w:uiPriority w:val="61"/>
    <w:locked/>
    <w:rsid w:val="007932D7"/>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Tablas">
    <w:name w:val="Tablas"/>
    <w:basedOn w:val="Descripcin"/>
    <w:next w:val="Normal"/>
    <w:link w:val="TablasCar"/>
    <w:qFormat/>
    <w:locked/>
    <w:rsid w:val="008C434A"/>
    <w:pPr>
      <w:jc w:val="center"/>
    </w:pPr>
  </w:style>
  <w:style w:type="character" w:customStyle="1" w:styleId="TablasCar">
    <w:name w:val="Tablas Car"/>
    <w:basedOn w:val="DescripcinCar"/>
    <w:link w:val="Tablas"/>
    <w:rsid w:val="008C434A"/>
    <w:rPr>
      <w:rFonts w:ascii="Cambria" w:hAnsi="Cambria"/>
      <w:b/>
      <w:bCs/>
      <w:lang w:eastAsia="en-US"/>
    </w:rPr>
  </w:style>
  <w:style w:type="character" w:styleId="Nmerodelnea">
    <w:name w:val="line number"/>
    <w:basedOn w:val="Fuentedeprrafopredeter"/>
    <w:uiPriority w:val="99"/>
    <w:semiHidden/>
    <w:unhideWhenUsed/>
    <w:locked/>
    <w:rsid w:val="00A87613"/>
  </w:style>
  <w:style w:type="paragraph" w:styleId="Revisin">
    <w:name w:val="Revision"/>
    <w:hidden/>
    <w:uiPriority w:val="99"/>
    <w:semiHidden/>
    <w:rsid w:val="00471CE1"/>
    <w:rPr>
      <w:rFonts w:ascii="Cambria" w:hAnsi="Cambria"/>
      <w:sz w:val="22"/>
      <w:szCs w:val="22"/>
      <w:lang w:eastAsia="en-US"/>
    </w:rPr>
  </w:style>
  <w:style w:type="table" w:styleId="Sombreadoclaro-nfasis3">
    <w:name w:val="Light Shading Accent 3"/>
    <w:basedOn w:val="Tablanormal"/>
    <w:uiPriority w:val="60"/>
    <w:locked/>
    <w:rsid w:val="00F0537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2">
    <w:name w:val="Light Shading Accent 2"/>
    <w:basedOn w:val="Tablanormal"/>
    <w:uiPriority w:val="60"/>
    <w:locked/>
    <w:rsid w:val="00F0537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4">
    <w:name w:val="Light Shading Accent 4"/>
    <w:basedOn w:val="Tablanormal"/>
    <w:uiPriority w:val="60"/>
    <w:locked/>
    <w:rsid w:val="00BB1A4A"/>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6">
    <w:name w:val="Light Shading Accent 6"/>
    <w:basedOn w:val="Tablanormal"/>
    <w:uiPriority w:val="60"/>
    <w:locked/>
    <w:rsid w:val="00BB1A4A"/>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doclaro-nfasis5">
    <w:name w:val="Light Shading Accent 5"/>
    <w:basedOn w:val="Tablanormal"/>
    <w:uiPriority w:val="60"/>
    <w:locked/>
    <w:rsid w:val="00AE3D24"/>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Textodelmarcadordeposicin">
    <w:name w:val="Placeholder Text"/>
    <w:basedOn w:val="Fuentedeprrafopredeter"/>
    <w:uiPriority w:val="99"/>
    <w:semiHidden/>
    <w:locked/>
    <w:rsid w:val="00B06998"/>
    <w:rPr>
      <w:color w:val="808080"/>
    </w:rPr>
  </w:style>
  <w:style w:type="table" w:customStyle="1" w:styleId="Gminis">
    <w:name w:val="Géminis"/>
    <w:basedOn w:val="Tablanormal"/>
    <w:rsid w:val="00053265"/>
    <w:pPr>
      <w:jc w:val="center"/>
    </w:pPr>
    <w:rPr>
      <w:rFonts w:asciiTheme="majorHAnsi" w:hAnsiTheme="majorHAnsi"/>
      <w:sz w:val="22"/>
    </w:rPr>
    <w:tblPr>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0" w:type="dxa"/>
      <w:jc w:val="center"/>
    </w:trPr>
    <w:tcPr>
      <w:shd w:val="clear" w:color="auto" w:fill="auto"/>
      <w:tcMar>
        <w:top w:w="0" w:type="dxa"/>
        <w:left w:w="108" w:type="dxa"/>
        <w:bottom w:w="0" w:type="dxa"/>
        <w:right w:w="108" w:type="dxa"/>
      </w:tcMar>
    </w:tcPr>
    <w:tblStylePr w:type="firstRow">
      <w:rPr>
        <w:b/>
      </w:rPr>
      <w:tblPr/>
      <w:tcPr>
        <w:tcBorders>
          <w:bottom w:val="nil"/>
          <w:right w:val="nil"/>
          <w:insideH w:val="nil"/>
        </w:tcBorders>
        <w:shd w:val="clear" w:color="auto" w:fill="A6A6A6" w:themeFill="background1" w:themeFillShade="A6"/>
      </w:tcPr>
    </w:tblStylePr>
    <w:tblStylePr w:type="lastRow">
      <w:tblPr/>
      <w:tcPr>
        <w:tcBorders>
          <w:bottom w:val="nil"/>
          <w:right w:val="nil"/>
          <w:insideH w:val="nil"/>
        </w:tcBorders>
      </w:tcPr>
    </w:tblStylePr>
    <w:tblStylePr w:type="firstCol">
      <w:tblPr/>
      <w:tcPr>
        <w:tcBorders>
          <w:top w:val="nil"/>
          <w:left w:val="nil"/>
        </w:tcBorders>
      </w:tcPr>
    </w:tblStylePr>
    <w:tblStylePr w:type="lastCol">
      <w:tblPr/>
      <w:tcPr>
        <w:tcBorders>
          <w:top w:val="nil"/>
          <w:left w:val="nil"/>
        </w:tcBorders>
      </w:tcPr>
    </w:tblStylePr>
    <w:tblStylePr w:type="band1Vert">
      <w:tblPr/>
      <w:tcPr>
        <w:tcBorders>
          <w:top w:val="nil"/>
          <w:left w:val="nil"/>
        </w:tcBorders>
      </w:tcPr>
    </w:tblStylePr>
    <w:tblStylePr w:type="band2Vert">
      <w:tblPr/>
      <w:tcPr>
        <w:tcBorders>
          <w:top w:val="nil"/>
          <w:left w:val="nil"/>
        </w:tcBorders>
      </w:tcPr>
    </w:tblStylePr>
    <w:tblStylePr w:type="band1Horz">
      <w:tblPr/>
      <w:tcPr>
        <w:tcBorders>
          <w:bottom w:val="nil"/>
          <w:right w:val="nil"/>
          <w:insideH w:val="nil"/>
        </w:tcBorders>
      </w:tcPr>
    </w:tblStylePr>
    <w:tblStylePr w:type="band2Horz">
      <w:tblPr/>
      <w:tcPr>
        <w:tcBorders>
          <w:bottom w:val="nil"/>
          <w:right w:val="nil"/>
          <w:insideH w:val="nil"/>
        </w:tcBorders>
      </w:tcPr>
    </w:tblStylePr>
    <w:tblStylePr w:type="neCell">
      <w:tblPr/>
      <w:tcPr>
        <w:tcBorders>
          <w:top w:val="nil"/>
          <w:left w:val="nil"/>
        </w:tcBorders>
      </w:tcPr>
    </w:tblStylePr>
    <w:tblStylePr w:type="nwCell">
      <w:tblPr/>
      <w:tcPr>
        <w:tcBorders>
          <w:top w:val="nil"/>
          <w:left w:val="nil"/>
        </w:tcBorders>
      </w:tcPr>
    </w:tblStylePr>
    <w:tblStylePr w:type="seCell">
      <w:tblPr/>
      <w:tcPr>
        <w:tcBorders>
          <w:top w:val="nil"/>
          <w:left w:val="nil"/>
        </w:tcBorders>
      </w:tcPr>
    </w:tblStylePr>
    <w:tblStylePr w:type="swCell">
      <w:tblPr/>
      <w:tcPr>
        <w:tcBorders>
          <w:top w:val="nil"/>
          <w:left w:val="nil"/>
        </w:tcBorders>
      </w:tcPr>
    </w:tblStylePr>
  </w:style>
  <w:style w:type="paragraph" w:styleId="Prrafodelista">
    <w:name w:val="List Paragraph"/>
    <w:aliases w:val="Bolita,Guión,Viñeta 2,BOLA,Párrafo de lista21,Titulo 8,List Paragraph,Párrafo de lista3,Párrafo encimadas,HOJA,Colorful List Accent 1,Lista vistosa - Énfasis 11,Colorful List - Accent 11,BOLADEF,Bola,Párrafo de lista31,BOLITA"/>
    <w:basedOn w:val="Normal"/>
    <w:link w:val="PrrafodelistaCar"/>
    <w:uiPriority w:val="34"/>
    <w:qFormat/>
    <w:locked/>
    <w:rsid w:val="00D36811"/>
    <w:pPr>
      <w:ind w:left="720"/>
    </w:pPr>
  </w:style>
  <w:style w:type="character" w:customStyle="1" w:styleId="PrrafodelistaCar">
    <w:name w:val="Párrafo de lista Car"/>
    <w:aliases w:val="Bolita Car,Guión Car,Viñeta 2 Car,BOLA Car,Párrafo de lista21 Car,Titulo 8 Car,List Paragraph Car,Párrafo de lista3 Car,Párrafo encimadas Car,HOJA Car,Colorful List Accent 1 Car,Lista vistosa - Énfasis 11 Car,BOLADEF Car,Bola Car"/>
    <w:basedOn w:val="Fuentedeprrafopredeter"/>
    <w:link w:val="Prrafodelista"/>
    <w:uiPriority w:val="34"/>
    <w:rsid w:val="00CD1F06"/>
    <w:rPr>
      <w:rFonts w:ascii="Cambria" w:hAnsi="Cambria"/>
      <w:sz w:val="22"/>
      <w:szCs w:val="22"/>
      <w:lang w:eastAsia="en-US"/>
    </w:rPr>
  </w:style>
  <w:style w:type="character" w:styleId="Refdecomentario">
    <w:name w:val="annotation reference"/>
    <w:basedOn w:val="Fuentedeprrafopredeter"/>
    <w:uiPriority w:val="99"/>
    <w:semiHidden/>
    <w:unhideWhenUsed/>
    <w:locked/>
    <w:rsid w:val="00D36811"/>
    <w:rPr>
      <w:sz w:val="16"/>
      <w:szCs w:val="16"/>
    </w:rPr>
  </w:style>
  <w:style w:type="paragraph" w:styleId="Textocomentario">
    <w:name w:val="annotation text"/>
    <w:basedOn w:val="Normal"/>
    <w:link w:val="TextocomentarioCar"/>
    <w:uiPriority w:val="99"/>
    <w:semiHidden/>
    <w:unhideWhenUsed/>
    <w:locked/>
    <w:rsid w:val="00D3681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36811"/>
    <w:rPr>
      <w:rFonts w:ascii="Cambria" w:hAnsi="Cambria"/>
      <w:lang w:eastAsia="en-US"/>
    </w:rPr>
  </w:style>
  <w:style w:type="paragraph" w:styleId="Asuntodelcomentario">
    <w:name w:val="annotation subject"/>
    <w:basedOn w:val="Textocomentario"/>
    <w:next w:val="Textocomentario"/>
    <w:link w:val="AsuntodelcomentarioCar"/>
    <w:uiPriority w:val="99"/>
    <w:semiHidden/>
    <w:unhideWhenUsed/>
    <w:locked/>
    <w:rsid w:val="00D36811"/>
    <w:rPr>
      <w:b/>
      <w:bCs/>
    </w:rPr>
  </w:style>
  <w:style w:type="character" w:customStyle="1" w:styleId="AsuntodelcomentarioCar">
    <w:name w:val="Asunto del comentario Car"/>
    <w:basedOn w:val="TextocomentarioCar"/>
    <w:link w:val="Asuntodelcomentario"/>
    <w:uiPriority w:val="99"/>
    <w:semiHidden/>
    <w:rsid w:val="00D36811"/>
    <w:rPr>
      <w:rFonts w:ascii="Cambria" w:hAnsi="Cambria"/>
      <w:b/>
      <w:bCs/>
      <w:lang w:eastAsia="en-US"/>
    </w:rPr>
  </w:style>
  <w:style w:type="paragraph" w:styleId="Textoindependiente3">
    <w:name w:val="Body Text 3"/>
    <w:basedOn w:val="Normal"/>
    <w:link w:val="Textoindependiente3Car"/>
    <w:uiPriority w:val="99"/>
    <w:semiHidden/>
    <w:locked/>
    <w:rsid w:val="00D36811"/>
    <w:pPr>
      <w:spacing w:line="240" w:lineRule="auto"/>
      <w:contextualSpacing w:val="0"/>
    </w:pPr>
    <w:rPr>
      <w:rFonts w:ascii="Times New Roman" w:eastAsia="Times New Roman" w:hAnsi="Times New Roman"/>
      <w:sz w:val="24"/>
      <w:szCs w:val="20"/>
      <w:lang w:eastAsia="es-ES"/>
    </w:rPr>
  </w:style>
  <w:style w:type="character" w:customStyle="1" w:styleId="Textoindependiente3Car">
    <w:name w:val="Texto independiente 3 Car"/>
    <w:basedOn w:val="Fuentedeprrafopredeter"/>
    <w:link w:val="Textoindependiente3"/>
    <w:uiPriority w:val="99"/>
    <w:semiHidden/>
    <w:rsid w:val="00D36811"/>
    <w:rPr>
      <w:rFonts w:ascii="Times New Roman" w:eastAsia="Times New Roman" w:hAnsi="Times New Roman"/>
      <w:sz w:val="24"/>
      <w:lang w:eastAsia="es-ES"/>
    </w:rPr>
  </w:style>
  <w:style w:type="paragraph" w:styleId="Textonotaalfinal">
    <w:name w:val="endnote text"/>
    <w:basedOn w:val="Normal"/>
    <w:link w:val="TextonotaalfinalCar"/>
    <w:uiPriority w:val="99"/>
    <w:semiHidden/>
    <w:unhideWhenUsed/>
    <w:locked/>
    <w:rsid w:val="00D36811"/>
    <w:pPr>
      <w:spacing w:line="240" w:lineRule="auto"/>
      <w:contextualSpacing w:val="0"/>
      <w:jc w:val="left"/>
    </w:pPr>
    <w:rPr>
      <w:rFonts w:asciiTheme="minorHAnsi" w:eastAsiaTheme="minorHAnsi" w:hAnsiTheme="minorHAnsi" w:cstheme="minorBidi"/>
      <w:sz w:val="20"/>
      <w:szCs w:val="20"/>
    </w:rPr>
  </w:style>
  <w:style w:type="character" w:customStyle="1" w:styleId="TextonotaalfinalCar">
    <w:name w:val="Texto nota al final Car"/>
    <w:basedOn w:val="Fuentedeprrafopredeter"/>
    <w:link w:val="Textonotaalfinal"/>
    <w:uiPriority w:val="99"/>
    <w:semiHidden/>
    <w:rsid w:val="00D36811"/>
    <w:rPr>
      <w:rFonts w:asciiTheme="minorHAnsi" w:eastAsiaTheme="minorHAnsi" w:hAnsiTheme="minorHAnsi" w:cstheme="minorBidi"/>
      <w:lang w:eastAsia="en-US"/>
    </w:rPr>
  </w:style>
  <w:style w:type="character" w:styleId="Refdenotaalfinal">
    <w:name w:val="endnote reference"/>
    <w:basedOn w:val="Fuentedeprrafopredeter"/>
    <w:uiPriority w:val="99"/>
    <w:semiHidden/>
    <w:unhideWhenUsed/>
    <w:locked/>
    <w:rsid w:val="00D36811"/>
    <w:rPr>
      <w:vertAlign w:val="superscript"/>
    </w:rPr>
  </w:style>
  <w:style w:type="character" w:customStyle="1" w:styleId="apple-converted-space">
    <w:name w:val="apple-converted-space"/>
    <w:basedOn w:val="Fuentedeprrafopredeter"/>
    <w:rsid w:val="00D36811"/>
  </w:style>
  <w:style w:type="paragraph" w:styleId="Textoindependiente2">
    <w:name w:val="Body Text 2"/>
    <w:basedOn w:val="Normal"/>
    <w:link w:val="Textoindependiente2Car"/>
    <w:uiPriority w:val="99"/>
    <w:semiHidden/>
    <w:unhideWhenUsed/>
    <w:locked/>
    <w:rsid w:val="00D36811"/>
    <w:pPr>
      <w:spacing w:after="120" w:line="480" w:lineRule="auto"/>
    </w:pPr>
  </w:style>
  <w:style w:type="character" w:customStyle="1" w:styleId="Textoindependiente2Car">
    <w:name w:val="Texto independiente 2 Car"/>
    <w:basedOn w:val="Fuentedeprrafopredeter"/>
    <w:link w:val="Textoindependiente2"/>
    <w:uiPriority w:val="99"/>
    <w:semiHidden/>
    <w:rsid w:val="00D36811"/>
    <w:rPr>
      <w:rFonts w:ascii="Cambria" w:hAnsi="Cambria"/>
      <w:sz w:val="22"/>
      <w:szCs w:val="22"/>
      <w:lang w:eastAsia="en-US"/>
    </w:rPr>
  </w:style>
  <w:style w:type="paragraph" w:customStyle="1" w:styleId="LISTA-PRIMER-NIVEL">
    <w:name w:val="LISTA-PRIMER-NIVEL"/>
    <w:basedOn w:val="Normal"/>
    <w:link w:val="LISTA-PRIMER-NIVELCar"/>
    <w:semiHidden/>
    <w:qFormat/>
    <w:rsid w:val="00D83858"/>
    <w:pPr>
      <w:spacing w:after="120" w:line="240" w:lineRule="auto"/>
      <w:contextualSpacing w:val="0"/>
    </w:pPr>
    <w:rPr>
      <w:rFonts w:ascii="Calibri" w:hAnsi="Calibri"/>
      <w:b/>
      <w:caps/>
      <w:lang w:val="x-none"/>
    </w:rPr>
  </w:style>
  <w:style w:type="character" w:customStyle="1" w:styleId="LISTA-PRIMER-NIVELCar">
    <w:name w:val="LISTA-PRIMER-NIVEL Car"/>
    <w:link w:val="LISTA-PRIMER-NIVEL"/>
    <w:semiHidden/>
    <w:rsid w:val="00D83858"/>
    <w:rPr>
      <w:b/>
      <w:caps/>
      <w:sz w:val="22"/>
      <w:szCs w:val="22"/>
      <w:lang w:val="x-none" w:eastAsia="en-US"/>
    </w:rPr>
  </w:style>
  <w:style w:type="paragraph" w:styleId="Listaconvietas">
    <w:name w:val="List Bullet"/>
    <w:basedOn w:val="Normal"/>
    <w:link w:val="ListaconvietasCar"/>
    <w:uiPriority w:val="99"/>
    <w:locked/>
    <w:rsid w:val="00D83858"/>
    <w:pPr>
      <w:numPr>
        <w:numId w:val="7"/>
      </w:numPr>
      <w:spacing w:after="120" w:line="240" w:lineRule="auto"/>
      <w:ind w:left="357" w:hanging="357"/>
      <w:contextualSpacing w:val="0"/>
    </w:pPr>
    <w:rPr>
      <w:rFonts w:ascii="Calibri" w:hAnsi="Calibri"/>
      <w:lang w:val="en-US"/>
    </w:rPr>
  </w:style>
  <w:style w:type="character" w:customStyle="1" w:styleId="ListaconvietasCar">
    <w:name w:val="Lista con viñetas Car"/>
    <w:link w:val="Listaconvietas"/>
    <w:uiPriority w:val="99"/>
    <w:rsid w:val="00D83858"/>
    <w:rPr>
      <w:sz w:val="22"/>
      <w:szCs w:val="22"/>
      <w:lang w:val="en-US" w:eastAsia="en-US"/>
    </w:rPr>
  </w:style>
  <w:style w:type="character" w:styleId="Referenciasutil">
    <w:name w:val="Subtle Reference"/>
    <w:aliases w:val="ReferenciaS"/>
    <w:uiPriority w:val="1"/>
    <w:qFormat/>
    <w:locked/>
    <w:rsid w:val="00D83858"/>
    <w:rPr>
      <w:b/>
      <w:caps/>
    </w:rPr>
  </w:style>
  <w:style w:type="paragraph" w:styleId="Textonotapie">
    <w:name w:val="footnote text"/>
    <w:aliases w:val="ft,Texto nota pie_mujer,CAR Texto nota pie,CAR Texto nota pie Car,Footnote Text Char Char,Footnote Text1 Char,Footnote Text Char Char Char Char,Footnote Text Char,Título 3 Car1 Car1 Car Car,Título 3 Car Car Car11 Car Car, Car4,Ca, Car5,f"/>
    <w:basedOn w:val="Normal"/>
    <w:link w:val="TextonotapieCar"/>
    <w:uiPriority w:val="99"/>
    <w:qFormat/>
    <w:locked/>
    <w:rsid w:val="008954D5"/>
    <w:pPr>
      <w:spacing w:line="240" w:lineRule="auto"/>
      <w:contextualSpacing w:val="0"/>
    </w:pPr>
    <w:rPr>
      <w:rFonts w:asciiTheme="majorHAnsi" w:hAnsiTheme="majorHAnsi"/>
      <w:sz w:val="18"/>
      <w:szCs w:val="18"/>
      <w:lang w:val="x-none" w:eastAsia="x-none"/>
    </w:rPr>
  </w:style>
  <w:style w:type="character" w:customStyle="1" w:styleId="TextonotapieCar">
    <w:name w:val="Texto nota pie Car"/>
    <w:aliases w:val="ft Car,Texto nota pie_mujer Car,CAR Texto nota pie Car1,CAR Texto nota pie Car Car,Footnote Text Char Char Car,Footnote Text1 Char Car,Footnote Text Char Char Char Char Car,Footnote Text Char Car,Título 3 Car1 Car1 Car Car Car,Ca Car"/>
    <w:basedOn w:val="Fuentedeprrafopredeter"/>
    <w:link w:val="Textonotapie"/>
    <w:uiPriority w:val="99"/>
    <w:rsid w:val="008954D5"/>
    <w:rPr>
      <w:rFonts w:asciiTheme="majorHAnsi" w:hAnsiTheme="majorHAnsi"/>
      <w:sz w:val="18"/>
      <w:szCs w:val="18"/>
      <w:lang w:val="x-none" w:eastAsia="x-none"/>
    </w:rPr>
  </w:style>
  <w:style w:type="character" w:styleId="Refdenotaalpie">
    <w:name w:val="footnote reference"/>
    <w:aliases w:val="Nota de pie,Ref. de nota al pieREF1,referencia nota al pie,Footnote symbol,Footnote,Ref,de nota al pie,Ref. de nota al pie2,Texto nota al pie, de nota al pie,16 Point,Superscript 6 Point,stylish,Texto de nota al pie,de nota al pie2"/>
    <w:uiPriority w:val="99"/>
    <w:qFormat/>
    <w:locked/>
    <w:rsid w:val="00D83858"/>
    <w:rPr>
      <w:vertAlign w:val="superscript"/>
    </w:rPr>
  </w:style>
  <w:style w:type="paragraph" w:customStyle="1" w:styleId="Titulo5">
    <w:name w:val="Titulo 5"/>
    <w:basedOn w:val="Normal"/>
    <w:semiHidden/>
    <w:qFormat/>
    <w:rsid w:val="00D83858"/>
    <w:pPr>
      <w:numPr>
        <w:numId w:val="8"/>
      </w:numPr>
      <w:spacing w:line="240" w:lineRule="auto"/>
      <w:contextualSpacing w:val="0"/>
    </w:pPr>
    <w:rPr>
      <w:rFonts w:ascii="Arial" w:eastAsia="Times New Roman" w:hAnsi="Arial"/>
      <w:b/>
      <w:bCs/>
      <w:smallCaps/>
      <w:sz w:val="20"/>
      <w:szCs w:val="20"/>
      <w:lang w:val="x-none" w:eastAsia="es-ES"/>
    </w:rPr>
  </w:style>
  <w:style w:type="character" w:styleId="Ttulodellibro">
    <w:name w:val="Book Title"/>
    <w:uiPriority w:val="33"/>
    <w:qFormat/>
    <w:locked/>
    <w:rsid w:val="00D83858"/>
    <w:rPr>
      <w:b/>
      <w:bCs/>
      <w:smallCaps/>
      <w:spacing w:val="5"/>
    </w:rPr>
  </w:style>
  <w:style w:type="paragraph" w:customStyle="1" w:styleId="fichavieta">
    <w:name w:val="ficha viñeta"/>
    <w:basedOn w:val="Prrafodelista"/>
    <w:rsid w:val="003815E3"/>
    <w:pPr>
      <w:numPr>
        <w:numId w:val="9"/>
      </w:numPr>
      <w:spacing w:before="60" w:after="60" w:line="240" w:lineRule="auto"/>
      <w:contextualSpacing w:val="0"/>
    </w:pPr>
    <w:rPr>
      <w:rFonts w:asciiTheme="minorHAnsi" w:eastAsiaTheme="minorHAnsi" w:hAnsiTheme="minorHAnsi" w:cstheme="minorHAnsi"/>
      <w:sz w:val="20"/>
      <w:szCs w:val="20"/>
    </w:rPr>
  </w:style>
  <w:style w:type="paragraph" w:customStyle="1" w:styleId="Fichanegrita">
    <w:name w:val="Ficha negrita"/>
    <w:basedOn w:val="Normal"/>
    <w:rsid w:val="003815E3"/>
    <w:pPr>
      <w:spacing w:before="60" w:after="60" w:line="240" w:lineRule="auto"/>
      <w:contextualSpacing w:val="0"/>
    </w:pPr>
    <w:rPr>
      <w:rFonts w:asciiTheme="minorHAnsi" w:eastAsiaTheme="minorHAnsi" w:hAnsiTheme="minorHAnsi" w:cstheme="minorHAnsi"/>
      <w:b/>
      <w:bCs/>
      <w:sz w:val="20"/>
      <w:szCs w:val="20"/>
      <w:lang w:eastAsia="es-CO"/>
    </w:rPr>
  </w:style>
  <w:style w:type="paragraph" w:customStyle="1" w:styleId="Fichatexto">
    <w:name w:val="Ficha texto"/>
    <w:basedOn w:val="Normal"/>
    <w:rsid w:val="00CB081E"/>
    <w:pPr>
      <w:tabs>
        <w:tab w:val="left" w:pos="1155"/>
      </w:tabs>
      <w:spacing w:before="60" w:after="60" w:line="240" w:lineRule="auto"/>
      <w:contextualSpacing w:val="0"/>
    </w:pPr>
    <w:rPr>
      <w:rFonts w:asciiTheme="minorHAnsi" w:eastAsiaTheme="minorHAnsi" w:hAnsiTheme="minorHAnsi" w:cstheme="minorHAnsi"/>
      <w:sz w:val="20"/>
      <w:szCs w:val="20"/>
    </w:rPr>
  </w:style>
  <w:style w:type="paragraph" w:customStyle="1" w:styleId="Tc">
    <w:name w:val="Tc"/>
    <w:basedOn w:val="Normal"/>
    <w:uiPriority w:val="99"/>
    <w:rsid w:val="00AA0A2C"/>
    <w:pPr>
      <w:suppressAutoHyphens/>
      <w:autoSpaceDE w:val="0"/>
      <w:autoSpaceDN w:val="0"/>
      <w:spacing w:before="360" w:line="240" w:lineRule="auto"/>
      <w:contextualSpacing w:val="0"/>
      <w:jc w:val="center"/>
    </w:pPr>
    <w:rPr>
      <w:rFonts w:ascii="Arial" w:eastAsia="Times New Roman" w:hAnsi="Arial" w:cs="Arial"/>
      <w:b/>
      <w:bCs/>
      <w:sz w:val="24"/>
      <w:szCs w:val="24"/>
      <w:lang w:val="es-ES_tradnl" w:eastAsia="es-ES"/>
    </w:rPr>
  </w:style>
  <w:style w:type="paragraph" w:styleId="Textoindependiente">
    <w:name w:val="Body Text"/>
    <w:aliases w:val="Texto independiente Car Car Car Car,Texto independiente Car Car Car,Subsection Body Text,TEXTO PARRAFO,body text,bt,Inicio"/>
    <w:basedOn w:val="Normal"/>
    <w:link w:val="TextoindependienteCar"/>
    <w:semiHidden/>
    <w:locked/>
    <w:rsid w:val="00AA0A2C"/>
    <w:pPr>
      <w:tabs>
        <w:tab w:val="left" w:pos="851"/>
      </w:tabs>
      <w:spacing w:line="360" w:lineRule="auto"/>
      <w:contextualSpacing w:val="0"/>
    </w:pPr>
    <w:rPr>
      <w:rFonts w:ascii="CG Times" w:eastAsia="Times New Roman" w:hAnsi="CG Times"/>
      <w:sz w:val="24"/>
      <w:szCs w:val="20"/>
      <w:lang w:val="es-ES" w:eastAsia="es-ES"/>
    </w:rPr>
  </w:style>
  <w:style w:type="character" w:customStyle="1" w:styleId="TextoindependienteCar">
    <w:name w:val="Texto independiente Car"/>
    <w:aliases w:val="Texto independiente Car Car Car Car Car,Texto independiente Car Car Car Car1,Subsection Body Text Car,TEXTO PARRAFO Car,body text Car,bt Car,Inicio Car"/>
    <w:basedOn w:val="Fuentedeprrafopredeter"/>
    <w:link w:val="Textoindependiente"/>
    <w:semiHidden/>
    <w:rsid w:val="00AA0A2C"/>
    <w:rPr>
      <w:rFonts w:ascii="CG Times" w:eastAsia="Times New Roman" w:hAnsi="CG Times"/>
      <w:sz w:val="24"/>
      <w:lang w:val="es-ES" w:eastAsia="es-ES"/>
    </w:rPr>
  </w:style>
  <w:style w:type="paragraph" w:customStyle="1" w:styleId="TTULO10">
    <w:name w:val="TÍTULO 1"/>
    <w:basedOn w:val="Prrafodelista"/>
    <w:rsid w:val="00AA0A2C"/>
    <w:pPr>
      <w:numPr>
        <w:numId w:val="20"/>
      </w:numPr>
      <w:spacing w:line="240" w:lineRule="auto"/>
      <w:jc w:val="center"/>
    </w:pPr>
    <w:rPr>
      <w:rFonts w:ascii="Times New Roman" w:eastAsiaTheme="minorHAnsi" w:hAnsi="Times New Roman"/>
      <w:b/>
      <w:sz w:val="24"/>
      <w:szCs w:val="24"/>
      <w:lang w:val="es-ES"/>
    </w:rPr>
  </w:style>
  <w:style w:type="paragraph" w:customStyle="1" w:styleId="TTULO2J">
    <w:name w:val="TÍTULO 2J"/>
    <w:basedOn w:val="Prrafodelista"/>
    <w:rsid w:val="00AA0A2C"/>
    <w:pPr>
      <w:spacing w:line="240" w:lineRule="auto"/>
      <w:ind w:left="714" w:hanging="357"/>
      <w:outlineLvl w:val="1"/>
    </w:pPr>
    <w:rPr>
      <w:rFonts w:ascii="Times New Roman" w:eastAsiaTheme="minorHAnsi" w:hAnsi="Times New Roman"/>
      <w:b/>
      <w:sz w:val="24"/>
      <w:szCs w:val="24"/>
      <w:lang w:val="es-ES"/>
    </w:rPr>
  </w:style>
  <w:style w:type="paragraph" w:customStyle="1" w:styleId="TTULO3J">
    <w:name w:val="TÍTULO 3J"/>
    <w:basedOn w:val="TTULO10"/>
    <w:rsid w:val="00AA0A2C"/>
    <w:pPr>
      <w:ind w:left="1077" w:hanging="720"/>
      <w:outlineLvl w:val="2"/>
    </w:pPr>
    <w:rPr>
      <w:sz w:val="20"/>
    </w:rPr>
  </w:style>
  <w:style w:type="paragraph" w:customStyle="1" w:styleId="TTULO40">
    <w:name w:val="TÍTULO 4"/>
    <w:basedOn w:val="TTULO10"/>
    <w:rsid w:val="00AA0A2C"/>
    <w:rPr>
      <w:sz w:val="20"/>
    </w:rPr>
  </w:style>
  <w:style w:type="paragraph" w:styleId="NormalWeb">
    <w:name w:val="Normal (Web)"/>
    <w:basedOn w:val="Normal"/>
    <w:uiPriority w:val="99"/>
    <w:unhideWhenUsed/>
    <w:locked/>
    <w:rsid w:val="00AA0A2C"/>
    <w:pPr>
      <w:spacing w:before="100" w:beforeAutospacing="1" w:after="100" w:afterAutospacing="1" w:line="240" w:lineRule="auto"/>
      <w:contextualSpacing w:val="0"/>
    </w:pPr>
    <w:rPr>
      <w:rFonts w:ascii="Times New Roman" w:eastAsia="Times New Roman" w:hAnsi="Times New Roman"/>
      <w:sz w:val="24"/>
      <w:szCs w:val="24"/>
      <w:lang w:val="es-ES" w:eastAsia="es-CO"/>
    </w:rPr>
  </w:style>
  <w:style w:type="paragraph" w:customStyle="1" w:styleId="TablaTexto">
    <w:name w:val="Tabla.Texto"/>
    <w:basedOn w:val="Normal"/>
    <w:rsid w:val="00AA0A2C"/>
    <w:pPr>
      <w:spacing w:before="40" w:after="40" w:line="240" w:lineRule="auto"/>
      <w:contextualSpacing w:val="0"/>
      <w:jc w:val="left"/>
    </w:pPr>
    <w:rPr>
      <w:rFonts w:ascii="Verdana" w:eastAsia="Times New Roman" w:hAnsi="Verdana"/>
      <w:sz w:val="20"/>
      <w:szCs w:val="20"/>
      <w:lang w:val="es-ES" w:eastAsia="es-ES"/>
    </w:rPr>
  </w:style>
  <w:style w:type="paragraph" w:customStyle="1" w:styleId="Figurasytablas">
    <w:name w:val="Figuras y tablas"/>
    <w:basedOn w:val="Descripcin"/>
    <w:link w:val="FigurasytablasCar"/>
    <w:qFormat/>
    <w:rsid w:val="00AA0A2C"/>
    <w:pPr>
      <w:keepNext/>
      <w:autoSpaceDE w:val="0"/>
      <w:autoSpaceDN w:val="0"/>
      <w:adjustRightInd w:val="0"/>
      <w:spacing w:line="240" w:lineRule="auto"/>
      <w:jc w:val="center"/>
    </w:pPr>
    <w:rPr>
      <w:rFonts w:ascii="Arial Narrow" w:hAnsi="Arial Narrow"/>
      <w:bCs w:val="0"/>
      <w:noProof/>
      <w:szCs w:val="22"/>
      <w:lang w:eastAsia="es-CO"/>
    </w:rPr>
  </w:style>
  <w:style w:type="character" w:customStyle="1" w:styleId="FigurasytablasCar">
    <w:name w:val="Figuras y tablas Car"/>
    <w:basedOn w:val="Fuentedeprrafopredeter"/>
    <w:link w:val="Figurasytablas"/>
    <w:rsid w:val="00AA0A2C"/>
    <w:rPr>
      <w:rFonts w:ascii="Arial Narrow" w:hAnsi="Arial Narrow"/>
      <w:b/>
      <w:noProof/>
      <w:szCs w:val="22"/>
    </w:rPr>
  </w:style>
  <w:style w:type="paragraph" w:styleId="ndice1">
    <w:name w:val="index 1"/>
    <w:basedOn w:val="Normal"/>
    <w:next w:val="Normal"/>
    <w:autoRedefine/>
    <w:uiPriority w:val="99"/>
    <w:semiHidden/>
    <w:unhideWhenUsed/>
    <w:locked/>
    <w:rsid w:val="00AA0A2C"/>
    <w:pPr>
      <w:spacing w:line="240" w:lineRule="auto"/>
      <w:ind w:left="240" w:hanging="240"/>
      <w:contextualSpacing w:val="0"/>
    </w:pPr>
    <w:rPr>
      <w:rFonts w:ascii="Times New Roman" w:eastAsiaTheme="minorHAnsi" w:hAnsi="Times New Roman"/>
      <w:sz w:val="24"/>
      <w:szCs w:val="24"/>
      <w:lang w:val="es-ES"/>
    </w:rPr>
  </w:style>
  <w:style w:type="paragraph" w:customStyle="1" w:styleId="Epigrafe">
    <w:name w:val="Epigrafe"/>
    <w:basedOn w:val="Normal"/>
    <w:autoRedefine/>
    <w:rsid w:val="00AA0A2C"/>
    <w:pPr>
      <w:spacing w:after="240" w:line="360" w:lineRule="auto"/>
      <w:contextualSpacing w:val="0"/>
      <w:jc w:val="center"/>
    </w:pPr>
    <w:rPr>
      <w:rFonts w:asciiTheme="minorHAnsi" w:eastAsia="Times New Roman" w:hAnsiTheme="minorHAnsi" w:cstheme="minorHAnsi"/>
      <w:caps/>
      <w:sz w:val="18"/>
      <w:szCs w:val="20"/>
      <w:lang w:val="es-ES" w:eastAsia="es-ES"/>
    </w:rPr>
  </w:style>
  <w:style w:type="paragraph" w:customStyle="1" w:styleId="Encabezadostablas">
    <w:name w:val="Encabezados tablas"/>
    <w:basedOn w:val="Normal"/>
    <w:autoRedefine/>
    <w:rsid w:val="00AA0A2C"/>
    <w:pPr>
      <w:spacing w:line="240" w:lineRule="auto"/>
      <w:contextualSpacing w:val="0"/>
      <w:jc w:val="center"/>
    </w:pPr>
    <w:rPr>
      <w:rFonts w:ascii="Tahoma" w:eastAsia="Times New Roman" w:hAnsi="Tahoma"/>
      <w:b/>
      <w:caps/>
      <w:sz w:val="18"/>
      <w:szCs w:val="18"/>
      <w:lang w:val="es-ES" w:eastAsia="es-ES"/>
    </w:rPr>
  </w:style>
  <w:style w:type="paragraph" w:customStyle="1" w:styleId="Textostablas">
    <w:name w:val="Textos tablas"/>
    <w:basedOn w:val="Normal"/>
    <w:rsid w:val="00AA0A2C"/>
    <w:pPr>
      <w:spacing w:line="240" w:lineRule="auto"/>
      <w:contextualSpacing w:val="0"/>
    </w:pPr>
    <w:rPr>
      <w:rFonts w:ascii="Tahoma" w:eastAsia="Times New Roman" w:hAnsi="Tahoma"/>
      <w:sz w:val="18"/>
      <w:szCs w:val="18"/>
      <w:lang w:val="es-ES" w:eastAsia="es-ES"/>
    </w:rPr>
  </w:style>
  <w:style w:type="paragraph" w:styleId="Sangra2detindependiente">
    <w:name w:val="Body Text Indent 2"/>
    <w:basedOn w:val="Normal"/>
    <w:link w:val="Sangra2detindependienteCar"/>
    <w:uiPriority w:val="99"/>
    <w:semiHidden/>
    <w:unhideWhenUsed/>
    <w:locked/>
    <w:rsid w:val="00AA0A2C"/>
    <w:pPr>
      <w:spacing w:line="480" w:lineRule="auto"/>
      <w:ind w:left="283"/>
      <w:contextualSpacing w:val="0"/>
    </w:pPr>
    <w:rPr>
      <w:rFonts w:ascii="Times New Roman" w:eastAsiaTheme="minorHAnsi" w:hAnsi="Times New Roman"/>
      <w:sz w:val="24"/>
      <w:szCs w:val="24"/>
      <w:lang w:val="es-ES"/>
    </w:rPr>
  </w:style>
  <w:style w:type="character" w:customStyle="1" w:styleId="Sangra2detindependienteCar">
    <w:name w:val="Sangría 2 de t. independiente Car"/>
    <w:basedOn w:val="Fuentedeprrafopredeter"/>
    <w:link w:val="Sangra2detindependiente"/>
    <w:uiPriority w:val="99"/>
    <w:semiHidden/>
    <w:rsid w:val="00AA0A2C"/>
    <w:rPr>
      <w:rFonts w:ascii="Times New Roman" w:eastAsiaTheme="minorHAnsi" w:hAnsi="Times New Roman"/>
      <w:sz w:val="24"/>
      <w:szCs w:val="24"/>
      <w:lang w:val="es-ES" w:eastAsia="en-US"/>
    </w:rPr>
  </w:style>
  <w:style w:type="paragraph" w:customStyle="1" w:styleId="EstiloTtulo1Arial11ptoSinCursiva">
    <w:name w:val="Estilo Título 1 + Arial 11 pto Sin Cursiva"/>
    <w:basedOn w:val="Ttulo1"/>
    <w:rsid w:val="00AA0A2C"/>
    <w:pPr>
      <w:spacing w:line="240" w:lineRule="auto"/>
      <w:ind w:left="432" w:hanging="432"/>
      <w:contextualSpacing w:val="0"/>
    </w:pPr>
    <w:rPr>
      <w:rFonts w:ascii="Arial" w:hAnsi="Arial"/>
      <w:b w:val="0"/>
      <w:bCs w:val="0"/>
      <w:caps w:val="0"/>
      <w:kern w:val="0"/>
      <w:szCs w:val="24"/>
      <w:lang w:val="es-ES" w:eastAsia="es-ES"/>
    </w:rPr>
  </w:style>
  <w:style w:type="paragraph" w:customStyle="1" w:styleId="EstiloTtulo1Arial11ptoSinCursivaJustificado">
    <w:name w:val="Estilo Título 1 + Arial 11 pto Sin Cursiva Justificado"/>
    <w:basedOn w:val="Ttulo1"/>
    <w:rsid w:val="00AA0A2C"/>
    <w:pPr>
      <w:spacing w:line="240" w:lineRule="auto"/>
      <w:ind w:left="432" w:hanging="432"/>
      <w:contextualSpacing w:val="0"/>
    </w:pPr>
    <w:rPr>
      <w:rFonts w:ascii="Arial" w:hAnsi="Arial"/>
      <w:bCs w:val="0"/>
      <w:caps w:val="0"/>
      <w:kern w:val="0"/>
      <w:szCs w:val="20"/>
      <w:lang w:val="es-ES" w:eastAsia="es-ES"/>
    </w:rPr>
  </w:style>
  <w:style w:type="paragraph" w:customStyle="1" w:styleId="Textoindependiente23">
    <w:name w:val="Texto independiente 23"/>
    <w:basedOn w:val="Normal"/>
    <w:rsid w:val="00AA0A2C"/>
    <w:pPr>
      <w:widowControl w:val="0"/>
      <w:overflowPunct w:val="0"/>
      <w:autoSpaceDE w:val="0"/>
      <w:autoSpaceDN w:val="0"/>
      <w:adjustRightInd w:val="0"/>
      <w:spacing w:line="360" w:lineRule="auto"/>
      <w:contextualSpacing w:val="0"/>
      <w:jc w:val="left"/>
      <w:textAlignment w:val="baseline"/>
    </w:pPr>
    <w:rPr>
      <w:rFonts w:ascii="Tahoma" w:eastAsia="Times New Roman" w:hAnsi="Tahoma"/>
      <w:sz w:val="24"/>
      <w:szCs w:val="20"/>
      <w:lang w:val="es-ES_tradnl" w:eastAsia="es-ES"/>
    </w:rPr>
  </w:style>
  <w:style w:type="paragraph" w:customStyle="1" w:styleId="BodyText21">
    <w:name w:val="Body Text 21"/>
    <w:basedOn w:val="Normal"/>
    <w:rsid w:val="00AA0A2C"/>
    <w:pPr>
      <w:widowControl w:val="0"/>
      <w:overflowPunct w:val="0"/>
      <w:autoSpaceDE w:val="0"/>
      <w:autoSpaceDN w:val="0"/>
      <w:adjustRightInd w:val="0"/>
      <w:spacing w:line="240" w:lineRule="auto"/>
      <w:contextualSpacing w:val="0"/>
      <w:textAlignment w:val="baseline"/>
    </w:pPr>
    <w:rPr>
      <w:rFonts w:ascii="Arial" w:eastAsia="Times New Roman" w:hAnsi="Arial"/>
      <w:sz w:val="24"/>
      <w:szCs w:val="20"/>
      <w:lang w:val="es-ES_tradnl" w:eastAsia="es-ES"/>
    </w:rPr>
  </w:style>
  <w:style w:type="paragraph" w:customStyle="1" w:styleId="Textoindependiente24">
    <w:name w:val="Texto independiente 24"/>
    <w:basedOn w:val="Normal"/>
    <w:rsid w:val="00AA0A2C"/>
    <w:pPr>
      <w:widowControl w:val="0"/>
      <w:overflowPunct w:val="0"/>
      <w:autoSpaceDE w:val="0"/>
      <w:autoSpaceDN w:val="0"/>
      <w:adjustRightInd w:val="0"/>
      <w:spacing w:line="360" w:lineRule="auto"/>
      <w:contextualSpacing w:val="0"/>
      <w:jc w:val="left"/>
      <w:textAlignment w:val="baseline"/>
    </w:pPr>
    <w:rPr>
      <w:rFonts w:ascii="Tahoma" w:eastAsia="Times New Roman" w:hAnsi="Tahoma"/>
      <w:sz w:val="24"/>
      <w:szCs w:val="20"/>
      <w:lang w:val="es-ES_tradnl" w:eastAsia="es-ES"/>
    </w:rPr>
  </w:style>
  <w:style w:type="paragraph" w:customStyle="1" w:styleId="TextoDocumento">
    <w:name w:val="Texto Documento"/>
    <w:basedOn w:val="Normal"/>
    <w:rsid w:val="00AA0A2C"/>
    <w:pPr>
      <w:spacing w:line="360" w:lineRule="auto"/>
      <w:contextualSpacing w:val="0"/>
    </w:pPr>
    <w:rPr>
      <w:rFonts w:ascii="Arial" w:eastAsia="Times New Roman" w:hAnsi="Arial"/>
      <w:snapToGrid w:val="0"/>
      <w:sz w:val="24"/>
      <w:szCs w:val="20"/>
      <w:lang w:val="es-ES" w:eastAsia="es-ES"/>
    </w:rPr>
  </w:style>
  <w:style w:type="paragraph" w:customStyle="1" w:styleId="EncabezadoCuros-Malaga">
    <w:name w:val="Encabezado_Curos-Malaga"/>
    <w:basedOn w:val="Encabezado"/>
    <w:link w:val="EncabezadoCuros-MalagaCar"/>
    <w:qFormat/>
    <w:rsid w:val="00AA0A2C"/>
    <w:pPr>
      <w:tabs>
        <w:tab w:val="clear" w:pos="4419"/>
        <w:tab w:val="clear" w:pos="8838"/>
        <w:tab w:val="center" w:pos="4252"/>
        <w:tab w:val="right" w:pos="8504"/>
      </w:tabs>
      <w:spacing w:line="240" w:lineRule="auto"/>
      <w:contextualSpacing w:val="0"/>
    </w:pPr>
    <w:rPr>
      <w:rFonts w:ascii="Times New Roman" w:eastAsiaTheme="minorHAnsi" w:hAnsi="Times New Roman" w:cstheme="minorBidi"/>
      <w:i/>
      <w:caps/>
      <w:noProof/>
      <w:szCs w:val="16"/>
      <w:lang w:val="es-ES" w:eastAsia="es-ES"/>
    </w:rPr>
  </w:style>
  <w:style w:type="character" w:customStyle="1" w:styleId="EncabezadoCuros-MalagaCar">
    <w:name w:val="Encabezado_Curos-Malaga Car"/>
    <w:basedOn w:val="EncabezadoCar"/>
    <w:link w:val="EncabezadoCuros-Malaga"/>
    <w:rsid w:val="00AA0A2C"/>
    <w:rPr>
      <w:rFonts w:ascii="Times New Roman" w:eastAsiaTheme="minorHAnsi" w:hAnsi="Times New Roman" w:cstheme="minorBidi"/>
      <w:i/>
      <w:caps/>
      <w:noProof/>
      <w:sz w:val="22"/>
      <w:szCs w:val="16"/>
      <w:lang w:val="es-ES" w:eastAsia="es-ES"/>
    </w:rPr>
  </w:style>
  <w:style w:type="paragraph" w:customStyle="1" w:styleId="Tablasencabezado">
    <w:name w:val="Tablas_encabezado"/>
    <w:basedOn w:val="Normal"/>
    <w:link w:val="TablasencabezadoCar"/>
    <w:rsid w:val="00AA0A2C"/>
    <w:pPr>
      <w:spacing w:before="60" w:after="60" w:line="240" w:lineRule="auto"/>
      <w:contextualSpacing w:val="0"/>
      <w:jc w:val="center"/>
    </w:pPr>
    <w:rPr>
      <w:rFonts w:ascii="Times New Roman" w:eastAsiaTheme="minorHAnsi" w:hAnsi="Times New Roman"/>
      <w:b/>
      <w:caps/>
      <w:sz w:val="24"/>
      <w:szCs w:val="24"/>
      <w:lang w:val="es-ES"/>
    </w:rPr>
  </w:style>
  <w:style w:type="character" w:customStyle="1" w:styleId="TablasencabezadoCar">
    <w:name w:val="Tablas_encabezado Car"/>
    <w:basedOn w:val="Fuentedeprrafopredeter"/>
    <w:link w:val="Tablasencabezado"/>
    <w:rsid w:val="00AA0A2C"/>
    <w:rPr>
      <w:rFonts w:ascii="Times New Roman" w:eastAsiaTheme="minorHAnsi" w:hAnsi="Times New Roman"/>
      <w:b/>
      <w:caps/>
      <w:sz w:val="24"/>
      <w:szCs w:val="24"/>
      <w:lang w:val="es-ES" w:eastAsia="en-US"/>
    </w:rPr>
  </w:style>
  <w:style w:type="paragraph" w:styleId="Mapadeldocumento">
    <w:name w:val="Document Map"/>
    <w:basedOn w:val="Normal"/>
    <w:link w:val="MapadeldocumentoCar"/>
    <w:uiPriority w:val="99"/>
    <w:semiHidden/>
    <w:unhideWhenUsed/>
    <w:rsid w:val="00AA0A2C"/>
    <w:pPr>
      <w:spacing w:line="240" w:lineRule="auto"/>
      <w:contextualSpacing w:val="0"/>
    </w:pPr>
    <w:rPr>
      <w:rFonts w:ascii="Tahoma" w:eastAsiaTheme="minorHAnsi" w:hAnsi="Tahoma" w:cs="Tahoma"/>
      <w:sz w:val="16"/>
      <w:szCs w:val="16"/>
      <w:lang w:val="es-ES"/>
    </w:rPr>
  </w:style>
  <w:style w:type="character" w:customStyle="1" w:styleId="MapadeldocumentoCar">
    <w:name w:val="Mapa del documento Car"/>
    <w:basedOn w:val="Fuentedeprrafopredeter"/>
    <w:link w:val="Mapadeldocumento"/>
    <w:uiPriority w:val="99"/>
    <w:semiHidden/>
    <w:rsid w:val="00AA0A2C"/>
    <w:rPr>
      <w:rFonts w:ascii="Tahoma" w:eastAsiaTheme="minorHAnsi" w:hAnsi="Tahoma" w:cs="Tahoma"/>
      <w:sz w:val="16"/>
      <w:szCs w:val="16"/>
      <w:lang w:val="es-ES" w:eastAsia="en-US"/>
    </w:rPr>
  </w:style>
  <w:style w:type="paragraph" w:customStyle="1" w:styleId="ListadeTablas">
    <w:name w:val="Lista de Tablas"/>
    <w:basedOn w:val="Normal"/>
    <w:next w:val="Normal"/>
    <w:autoRedefine/>
    <w:rsid w:val="00AA0A2C"/>
    <w:pPr>
      <w:spacing w:line="240" w:lineRule="auto"/>
      <w:contextualSpacing w:val="0"/>
      <w:jc w:val="center"/>
    </w:pPr>
    <w:rPr>
      <w:rFonts w:ascii="Arial" w:eastAsia="Times New Roman" w:hAnsi="Arial"/>
      <w:snapToGrid w:val="0"/>
      <w:sz w:val="24"/>
      <w:szCs w:val="20"/>
      <w:lang w:val="es-ES" w:eastAsia="es-ES"/>
    </w:rPr>
  </w:style>
  <w:style w:type="paragraph" w:customStyle="1" w:styleId="Default">
    <w:name w:val="Default"/>
    <w:rsid w:val="00AA0A2C"/>
    <w:pPr>
      <w:autoSpaceDE w:val="0"/>
      <w:autoSpaceDN w:val="0"/>
      <w:adjustRightInd w:val="0"/>
    </w:pPr>
    <w:rPr>
      <w:rFonts w:ascii="Times New Roman" w:hAnsi="Times New Roman"/>
      <w:color w:val="000000"/>
      <w:sz w:val="24"/>
      <w:szCs w:val="24"/>
      <w:lang w:eastAsia="es-ES"/>
    </w:rPr>
  </w:style>
  <w:style w:type="character" w:customStyle="1" w:styleId="go">
    <w:name w:val="go"/>
    <w:basedOn w:val="Fuentedeprrafopredeter"/>
    <w:rsid w:val="00AA0A2C"/>
  </w:style>
  <w:style w:type="character" w:styleId="Textoennegrita">
    <w:name w:val="Strong"/>
    <w:basedOn w:val="Fuentedeprrafopredeter"/>
    <w:uiPriority w:val="22"/>
    <w:locked/>
    <w:rsid w:val="00AA0A2C"/>
    <w:rPr>
      <w:b/>
      <w:bCs/>
    </w:rPr>
  </w:style>
  <w:style w:type="character" w:customStyle="1" w:styleId="tituloprincipal21">
    <w:name w:val="tituloprincipal21"/>
    <w:rsid w:val="00AA0A2C"/>
    <w:rPr>
      <w:b/>
      <w:bCs/>
      <w:strike w:val="0"/>
      <w:dstrike w:val="0"/>
      <w:color w:val="3C9900"/>
      <w:sz w:val="18"/>
      <w:szCs w:val="18"/>
      <w:u w:val="none"/>
      <w:effect w:val="none"/>
    </w:rPr>
  </w:style>
  <w:style w:type="character" w:customStyle="1" w:styleId="titdestacado">
    <w:name w:val="titdestacado"/>
    <w:basedOn w:val="Fuentedeprrafopredeter"/>
    <w:rsid w:val="00AA0A2C"/>
  </w:style>
  <w:style w:type="paragraph" w:styleId="Subttulo">
    <w:name w:val="Subtitle"/>
    <w:basedOn w:val="Normal"/>
    <w:next w:val="Normal"/>
    <w:link w:val="SubttuloCar"/>
    <w:locked/>
    <w:rsid w:val="00AA0A2C"/>
    <w:pPr>
      <w:numPr>
        <w:ilvl w:val="1"/>
      </w:numPr>
      <w:spacing w:line="240" w:lineRule="auto"/>
      <w:contextualSpacing w:val="0"/>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AA0A2C"/>
    <w:rPr>
      <w:rFonts w:asciiTheme="majorHAnsi" w:eastAsiaTheme="majorEastAsia" w:hAnsiTheme="majorHAnsi" w:cstheme="majorBidi"/>
      <w:i/>
      <w:iCs/>
      <w:color w:val="4F81BD" w:themeColor="accent1"/>
      <w:spacing w:val="15"/>
      <w:sz w:val="24"/>
      <w:szCs w:val="24"/>
      <w:lang w:eastAsia="en-US"/>
    </w:rPr>
  </w:style>
  <w:style w:type="paragraph" w:customStyle="1" w:styleId="terminossinnumero">
    <w:name w:val="terminos sin numero"/>
    <w:basedOn w:val="Normal"/>
    <w:link w:val="terminossinnumeroCar"/>
    <w:rsid w:val="00AA0A2C"/>
    <w:pPr>
      <w:contextualSpacing w:val="0"/>
    </w:pPr>
    <w:rPr>
      <w:rFonts w:ascii="Times New Roman" w:eastAsia="Times New Roman" w:hAnsi="Times New Roman"/>
      <w:i/>
      <w:color w:val="000000"/>
      <w:lang w:val="es-ES" w:bidi="en-US"/>
    </w:rPr>
  </w:style>
  <w:style w:type="character" w:customStyle="1" w:styleId="terminossinnumeroCar">
    <w:name w:val="terminos sin numero Car"/>
    <w:link w:val="terminossinnumero"/>
    <w:rsid w:val="00AA0A2C"/>
    <w:rPr>
      <w:rFonts w:ascii="Times New Roman" w:eastAsia="Times New Roman" w:hAnsi="Times New Roman"/>
      <w:i/>
      <w:color w:val="000000"/>
      <w:sz w:val="22"/>
      <w:szCs w:val="22"/>
      <w:lang w:val="es-ES" w:eastAsia="en-US" w:bidi="en-US"/>
    </w:rPr>
  </w:style>
  <w:style w:type="character" w:customStyle="1" w:styleId="NormalesCar">
    <w:name w:val="Normales Car"/>
    <w:link w:val="Normales"/>
    <w:rsid w:val="00AA0A2C"/>
    <w:rPr>
      <w:sz w:val="24"/>
      <w:szCs w:val="24"/>
    </w:rPr>
  </w:style>
  <w:style w:type="paragraph" w:customStyle="1" w:styleId="Normales">
    <w:name w:val="Normales"/>
    <w:basedOn w:val="Normal"/>
    <w:link w:val="NormalesCar"/>
    <w:rsid w:val="00AA0A2C"/>
    <w:pPr>
      <w:spacing w:line="240" w:lineRule="auto"/>
      <w:contextualSpacing w:val="0"/>
    </w:pPr>
    <w:rPr>
      <w:rFonts w:ascii="Calibri" w:hAnsi="Calibri"/>
      <w:sz w:val="24"/>
      <w:szCs w:val="24"/>
      <w:lang w:eastAsia="es-CO"/>
    </w:rPr>
  </w:style>
  <w:style w:type="paragraph" w:styleId="Cita">
    <w:name w:val="Quote"/>
    <w:basedOn w:val="Normal"/>
    <w:next w:val="Normal"/>
    <w:link w:val="CitaCar"/>
    <w:uiPriority w:val="29"/>
    <w:qFormat/>
    <w:rsid w:val="00AA0A2C"/>
    <w:pPr>
      <w:spacing w:line="240" w:lineRule="auto"/>
      <w:contextualSpacing w:val="0"/>
    </w:pPr>
    <w:rPr>
      <w:rFonts w:ascii="Times New Roman" w:eastAsia="Times New Roman" w:hAnsi="Times New Roman"/>
      <w:iCs/>
      <w:color w:val="000000"/>
      <w:sz w:val="20"/>
      <w:szCs w:val="24"/>
      <w:lang w:val="es-ES" w:eastAsia="es-ES"/>
    </w:rPr>
  </w:style>
  <w:style w:type="character" w:customStyle="1" w:styleId="CitaCar">
    <w:name w:val="Cita Car"/>
    <w:basedOn w:val="Fuentedeprrafopredeter"/>
    <w:link w:val="Cita"/>
    <w:uiPriority w:val="29"/>
    <w:rsid w:val="00AA0A2C"/>
    <w:rPr>
      <w:rFonts w:ascii="Times New Roman" w:eastAsia="Times New Roman" w:hAnsi="Times New Roman"/>
      <w:iCs/>
      <w:color w:val="000000"/>
      <w:szCs w:val="24"/>
      <w:lang w:val="es-ES" w:eastAsia="es-ES"/>
    </w:rPr>
  </w:style>
  <w:style w:type="paragraph" w:customStyle="1" w:styleId="tablas0">
    <w:name w:val="tablas"/>
    <w:basedOn w:val="Normal"/>
    <w:link w:val="tablasCar0"/>
    <w:qFormat/>
    <w:rsid w:val="00AA0A2C"/>
    <w:pPr>
      <w:spacing w:line="240" w:lineRule="auto"/>
      <w:contextualSpacing w:val="0"/>
      <w:jc w:val="center"/>
    </w:pPr>
    <w:rPr>
      <w:rFonts w:ascii="Times New Roman" w:hAnsi="Times New Roman"/>
      <w:b/>
      <w:bCs/>
      <w:sz w:val="18"/>
      <w:szCs w:val="18"/>
      <w:lang w:val="es-ES_tradnl" w:eastAsia="es-ES"/>
    </w:rPr>
  </w:style>
  <w:style w:type="character" w:customStyle="1" w:styleId="tablasCar0">
    <w:name w:val="tablas Car"/>
    <w:link w:val="tablas0"/>
    <w:rsid w:val="00AA0A2C"/>
    <w:rPr>
      <w:rFonts w:ascii="Times New Roman" w:hAnsi="Times New Roman"/>
      <w:b/>
      <w:bCs/>
      <w:sz w:val="18"/>
      <w:szCs w:val="18"/>
      <w:lang w:val="es-ES_tradnl" w:eastAsia="es-ES"/>
    </w:rPr>
  </w:style>
  <w:style w:type="paragraph" w:customStyle="1" w:styleId="Normaltablas">
    <w:name w:val="Normal tablas"/>
    <w:basedOn w:val="Normal"/>
    <w:qFormat/>
    <w:rsid w:val="00AA0A2C"/>
    <w:pPr>
      <w:spacing w:line="240" w:lineRule="auto"/>
      <w:contextualSpacing w:val="0"/>
    </w:pPr>
    <w:rPr>
      <w:rFonts w:ascii="Times New Roman" w:hAnsi="Times New Roman"/>
      <w:sz w:val="24"/>
      <w:szCs w:val="24"/>
      <w:lang w:eastAsia="es-ES"/>
    </w:rPr>
  </w:style>
  <w:style w:type="paragraph" w:customStyle="1" w:styleId="SEPARADOR">
    <w:name w:val="SEPARADOR"/>
    <w:basedOn w:val="Ttulo"/>
    <w:rsid w:val="00AA0A2C"/>
    <w:pPr>
      <w:spacing w:before="120" w:after="120" w:line="480" w:lineRule="auto"/>
      <w:contextualSpacing w:val="0"/>
      <w:outlineLvl w:val="9"/>
    </w:pPr>
    <w:rPr>
      <w:rFonts w:ascii="Times New Roman" w:hAnsi="Times New Roman"/>
      <w:caps w:val="0"/>
      <w:kern w:val="0"/>
      <w:sz w:val="32"/>
      <w:szCs w:val="20"/>
      <w:lang w:val="es-ES_tradnl" w:eastAsia="es-ES"/>
    </w:rPr>
  </w:style>
  <w:style w:type="paragraph" w:customStyle="1" w:styleId="subtitulo2">
    <w:name w:val="subtitulo 2"/>
    <w:basedOn w:val="Prrafodelista"/>
    <w:qFormat/>
    <w:rsid w:val="00AA0A2C"/>
    <w:pPr>
      <w:numPr>
        <w:ilvl w:val="1"/>
        <w:numId w:val="21"/>
      </w:numPr>
      <w:tabs>
        <w:tab w:val="num" w:pos="360"/>
      </w:tabs>
      <w:spacing w:line="240" w:lineRule="auto"/>
      <w:ind w:firstLine="0"/>
    </w:pPr>
    <w:rPr>
      <w:rFonts w:ascii="Times New Roman" w:hAnsi="Times New Roman"/>
      <w:lang w:val="es-ES"/>
    </w:rPr>
  </w:style>
  <w:style w:type="paragraph" w:customStyle="1" w:styleId="msonormal0">
    <w:name w:val="msonormal"/>
    <w:basedOn w:val="Normal"/>
    <w:rsid w:val="004B49C5"/>
    <w:pPr>
      <w:spacing w:before="100" w:beforeAutospacing="1" w:after="100" w:afterAutospacing="1" w:line="240" w:lineRule="auto"/>
      <w:contextualSpacing w:val="0"/>
      <w:jc w:val="left"/>
    </w:pPr>
    <w:rPr>
      <w:rFonts w:ascii="Times New Roman" w:eastAsia="Times New Roman" w:hAnsi="Times New Roman"/>
      <w:sz w:val="24"/>
      <w:szCs w:val="24"/>
      <w:lang w:eastAsia="es-CO"/>
    </w:rPr>
  </w:style>
  <w:style w:type="paragraph" w:customStyle="1" w:styleId="xl71">
    <w:name w:val="xl71"/>
    <w:basedOn w:val="Normal"/>
    <w:rsid w:val="004B49C5"/>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pPr>
    <w:rPr>
      <w:rFonts w:eastAsia="Times New Roman"/>
      <w:sz w:val="18"/>
      <w:szCs w:val="18"/>
      <w:lang w:eastAsia="es-CO"/>
    </w:rPr>
  </w:style>
  <w:style w:type="paragraph" w:customStyle="1" w:styleId="xl72">
    <w:name w:val="xl72"/>
    <w:basedOn w:val="Normal"/>
    <w:rsid w:val="004B49C5"/>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pPr>
    <w:rPr>
      <w:rFonts w:eastAsia="Times New Roman"/>
      <w:sz w:val="18"/>
      <w:szCs w:val="18"/>
      <w:lang w:eastAsia="es-CO"/>
    </w:rPr>
  </w:style>
  <w:style w:type="paragraph" w:customStyle="1" w:styleId="xl73">
    <w:name w:val="xl73"/>
    <w:basedOn w:val="Normal"/>
    <w:rsid w:val="004B49C5"/>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pPr>
    <w:rPr>
      <w:rFonts w:eastAsia="Times New Roman"/>
      <w:sz w:val="18"/>
      <w:szCs w:val="18"/>
      <w:lang w:eastAsia="es-CO"/>
    </w:rPr>
  </w:style>
  <w:style w:type="paragraph" w:customStyle="1" w:styleId="xl74">
    <w:name w:val="xl74"/>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left"/>
    </w:pPr>
    <w:rPr>
      <w:rFonts w:eastAsia="Times New Roman"/>
      <w:sz w:val="18"/>
      <w:szCs w:val="18"/>
      <w:lang w:eastAsia="es-CO"/>
    </w:rPr>
  </w:style>
  <w:style w:type="paragraph" w:customStyle="1" w:styleId="xl75">
    <w:name w:val="xl75"/>
    <w:basedOn w:val="Normal"/>
    <w:rsid w:val="004B49C5"/>
    <w:pPr>
      <w:shd w:val="clear" w:color="000000" w:fill="FFFFFF"/>
      <w:spacing w:before="100" w:beforeAutospacing="1" w:after="100" w:afterAutospacing="1" w:line="240" w:lineRule="auto"/>
      <w:contextualSpacing w:val="0"/>
      <w:jc w:val="left"/>
    </w:pPr>
    <w:rPr>
      <w:rFonts w:eastAsia="Times New Roman"/>
      <w:color w:val="000000"/>
      <w:sz w:val="18"/>
      <w:szCs w:val="18"/>
      <w:lang w:eastAsia="es-CO"/>
    </w:rPr>
  </w:style>
  <w:style w:type="paragraph" w:customStyle="1" w:styleId="xl76">
    <w:name w:val="xl76"/>
    <w:basedOn w:val="Normal"/>
    <w:rsid w:val="004B49C5"/>
    <w:pPr>
      <w:shd w:val="clear" w:color="000000" w:fill="FFFFFF"/>
      <w:spacing w:before="100" w:beforeAutospacing="1" w:after="100" w:afterAutospacing="1" w:line="240" w:lineRule="auto"/>
      <w:contextualSpacing w:val="0"/>
      <w:jc w:val="left"/>
    </w:pPr>
    <w:rPr>
      <w:rFonts w:eastAsia="Times New Roman"/>
      <w:b/>
      <w:bCs/>
      <w:sz w:val="18"/>
      <w:szCs w:val="18"/>
      <w:lang w:eastAsia="es-CO"/>
    </w:rPr>
  </w:style>
  <w:style w:type="paragraph" w:customStyle="1" w:styleId="xl77">
    <w:name w:val="xl77"/>
    <w:basedOn w:val="Normal"/>
    <w:rsid w:val="004B49C5"/>
    <w:pPr>
      <w:pBdr>
        <w:top w:val="single" w:sz="4" w:space="0" w:color="auto"/>
        <w:left w:val="single" w:sz="4" w:space="0" w:color="auto"/>
      </w:pBdr>
      <w:shd w:val="clear" w:color="000000" w:fill="FFFFFF"/>
      <w:spacing w:before="100" w:beforeAutospacing="1" w:after="100" w:afterAutospacing="1" w:line="240" w:lineRule="auto"/>
      <w:contextualSpacing w:val="0"/>
      <w:jc w:val="center"/>
    </w:pPr>
    <w:rPr>
      <w:rFonts w:eastAsia="Times New Roman"/>
      <w:b/>
      <w:bCs/>
      <w:sz w:val="18"/>
      <w:szCs w:val="18"/>
      <w:lang w:eastAsia="es-CO"/>
    </w:rPr>
  </w:style>
  <w:style w:type="paragraph" w:customStyle="1" w:styleId="xl78">
    <w:name w:val="xl78"/>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center"/>
    </w:pPr>
    <w:rPr>
      <w:rFonts w:eastAsia="Times New Roman"/>
      <w:b/>
      <w:bCs/>
      <w:sz w:val="18"/>
      <w:szCs w:val="18"/>
      <w:lang w:eastAsia="es-CO"/>
    </w:rPr>
  </w:style>
  <w:style w:type="paragraph" w:customStyle="1" w:styleId="xl79">
    <w:name w:val="xl79"/>
    <w:basedOn w:val="Normal"/>
    <w:rsid w:val="004B49C5"/>
    <w:pPr>
      <w:pBdr>
        <w:top w:val="single" w:sz="4" w:space="0" w:color="auto"/>
        <w:left w:val="single" w:sz="4" w:space="0" w:color="auto"/>
        <w:bottom w:val="single" w:sz="4" w:space="0" w:color="auto"/>
        <w:right w:val="single" w:sz="4" w:space="0" w:color="auto"/>
      </w:pBdr>
      <w:shd w:val="thinReverseDiagStripe" w:color="808080" w:fill="FFFFFF"/>
      <w:spacing w:before="100" w:beforeAutospacing="1" w:after="100" w:afterAutospacing="1" w:line="240" w:lineRule="auto"/>
      <w:contextualSpacing w:val="0"/>
      <w:jc w:val="left"/>
    </w:pPr>
    <w:rPr>
      <w:rFonts w:eastAsia="Times New Roman"/>
      <w:color w:val="000000"/>
      <w:sz w:val="18"/>
      <w:szCs w:val="18"/>
      <w:lang w:eastAsia="es-CO"/>
    </w:rPr>
  </w:style>
  <w:style w:type="paragraph" w:customStyle="1" w:styleId="xl80">
    <w:name w:val="xl80"/>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left"/>
    </w:pPr>
    <w:rPr>
      <w:rFonts w:eastAsia="Times New Roman"/>
      <w:color w:val="000000"/>
      <w:sz w:val="18"/>
      <w:szCs w:val="18"/>
      <w:lang w:eastAsia="es-CO"/>
    </w:rPr>
  </w:style>
  <w:style w:type="paragraph" w:customStyle="1" w:styleId="xl81">
    <w:name w:val="xl81"/>
    <w:basedOn w:val="Normal"/>
    <w:rsid w:val="004B49C5"/>
    <w:pPr>
      <w:pBdr>
        <w:top w:val="single" w:sz="4" w:space="0" w:color="auto"/>
        <w:left w:val="single" w:sz="4" w:space="0" w:color="auto"/>
        <w:bottom w:val="single" w:sz="4" w:space="0" w:color="auto"/>
      </w:pBdr>
      <w:shd w:val="clear" w:color="000000" w:fill="FFFFFF"/>
      <w:spacing w:before="100" w:beforeAutospacing="1" w:after="100" w:afterAutospacing="1" w:line="240" w:lineRule="auto"/>
      <w:contextualSpacing w:val="0"/>
      <w:jc w:val="center"/>
    </w:pPr>
    <w:rPr>
      <w:rFonts w:eastAsia="Times New Roman"/>
      <w:b/>
      <w:bCs/>
      <w:sz w:val="18"/>
      <w:szCs w:val="18"/>
      <w:lang w:eastAsia="es-CO"/>
    </w:rPr>
  </w:style>
  <w:style w:type="paragraph" w:customStyle="1" w:styleId="xl82">
    <w:name w:val="xl82"/>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left"/>
    </w:pPr>
    <w:rPr>
      <w:rFonts w:eastAsia="Times New Roman"/>
      <w:b/>
      <w:bCs/>
      <w:color w:val="000000"/>
      <w:sz w:val="18"/>
      <w:szCs w:val="18"/>
      <w:lang w:eastAsia="es-CO"/>
    </w:rPr>
  </w:style>
  <w:style w:type="paragraph" w:customStyle="1" w:styleId="xl83">
    <w:name w:val="xl83"/>
    <w:basedOn w:val="Normal"/>
    <w:rsid w:val="004B49C5"/>
    <w:pPr>
      <w:shd w:val="clear" w:color="000000" w:fill="FFFFFF"/>
      <w:spacing w:before="100" w:beforeAutospacing="1" w:after="100" w:afterAutospacing="1" w:line="240" w:lineRule="auto"/>
      <w:contextualSpacing w:val="0"/>
      <w:jc w:val="left"/>
    </w:pPr>
    <w:rPr>
      <w:rFonts w:eastAsia="Times New Roman"/>
      <w:sz w:val="18"/>
      <w:szCs w:val="18"/>
      <w:lang w:eastAsia="es-CO"/>
    </w:rPr>
  </w:style>
  <w:style w:type="paragraph" w:customStyle="1" w:styleId="xl84">
    <w:name w:val="xl84"/>
    <w:basedOn w:val="Normal"/>
    <w:rsid w:val="004B49C5"/>
    <w:pPr>
      <w:shd w:val="clear" w:color="000000" w:fill="FFFFFF"/>
      <w:spacing w:before="100" w:beforeAutospacing="1" w:after="100" w:afterAutospacing="1" w:line="240" w:lineRule="auto"/>
      <w:contextualSpacing w:val="0"/>
      <w:jc w:val="left"/>
    </w:pPr>
    <w:rPr>
      <w:rFonts w:eastAsia="Times New Roman"/>
      <w:color w:val="000000"/>
      <w:sz w:val="18"/>
      <w:szCs w:val="18"/>
      <w:lang w:eastAsia="es-CO"/>
    </w:rPr>
  </w:style>
  <w:style w:type="paragraph" w:customStyle="1" w:styleId="xl85">
    <w:name w:val="xl85"/>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left"/>
      <w:textAlignment w:val="center"/>
    </w:pPr>
    <w:rPr>
      <w:rFonts w:eastAsia="Times New Roman"/>
      <w:sz w:val="18"/>
      <w:szCs w:val="18"/>
      <w:lang w:eastAsia="es-CO"/>
    </w:rPr>
  </w:style>
  <w:style w:type="paragraph" w:customStyle="1" w:styleId="xl86">
    <w:name w:val="xl86"/>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left"/>
    </w:pPr>
    <w:rPr>
      <w:rFonts w:eastAsia="Times New Roman"/>
      <w:color w:val="000000"/>
      <w:sz w:val="18"/>
      <w:szCs w:val="18"/>
      <w:lang w:eastAsia="es-CO"/>
    </w:rPr>
  </w:style>
  <w:style w:type="paragraph" w:customStyle="1" w:styleId="xl87">
    <w:name w:val="xl87"/>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left"/>
    </w:pPr>
    <w:rPr>
      <w:rFonts w:eastAsia="Times New Roman"/>
      <w:b/>
      <w:bCs/>
      <w:sz w:val="18"/>
      <w:szCs w:val="18"/>
      <w:lang w:eastAsia="es-CO"/>
    </w:rPr>
  </w:style>
  <w:style w:type="paragraph" w:customStyle="1" w:styleId="xl88">
    <w:name w:val="xl88"/>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left"/>
    </w:pPr>
    <w:rPr>
      <w:rFonts w:eastAsia="Times New Roman"/>
      <w:b/>
      <w:bCs/>
      <w:sz w:val="18"/>
      <w:szCs w:val="18"/>
      <w:lang w:eastAsia="es-CO"/>
    </w:rPr>
  </w:style>
  <w:style w:type="paragraph" w:customStyle="1" w:styleId="xl89">
    <w:name w:val="xl89"/>
    <w:basedOn w:val="Normal"/>
    <w:rsid w:val="004B49C5"/>
    <w:pPr>
      <w:shd w:val="clear" w:color="000000" w:fill="FFFFFF"/>
      <w:spacing w:before="100" w:beforeAutospacing="1" w:after="100" w:afterAutospacing="1" w:line="240" w:lineRule="auto"/>
      <w:contextualSpacing w:val="0"/>
      <w:jc w:val="left"/>
    </w:pPr>
    <w:rPr>
      <w:rFonts w:eastAsia="Times New Roman"/>
      <w:color w:val="FF0000"/>
      <w:sz w:val="18"/>
      <w:szCs w:val="18"/>
      <w:lang w:eastAsia="es-CO"/>
    </w:rPr>
  </w:style>
  <w:style w:type="paragraph" w:customStyle="1" w:styleId="xl90">
    <w:name w:val="xl90"/>
    <w:basedOn w:val="Normal"/>
    <w:rsid w:val="004B49C5"/>
    <w:pPr>
      <w:shd w:val="clear" w:color="000000" w:fill="FFFFFF"/>
      <w:spacing w:before="100" w:beforeAutospacing="1" w:after="100" w:afterAutospacing="1" w:line="240" w:lineRule="auto"/>
      <w:contextualSpacing w:val="0"/>
      <w:jc w:val="left"/>
    </w:pPr>
    <w:rPr>
      <w:rFonts w:eastAsia="Times New Roman"/>
      <w:color w:val="000000"/>
      <w:sz w:val="18"/>
      <w:szCs w:val="18"/>
      <w:lang w:eastAsia="es-CO"/>
    </w:rPr>
  </w:style>
  <w:style w:type="paragraph" w:customStyle="1" w:styleId="xl91">
    <w:name w:val="xl91"/>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center"/>
    </w:pPr>
    <w:rPr>
      <w:rFonts w:eastAsia="Times New Roman"/>
      <w:b/>
      <w:bCs/>
      <w:sz w:val="18"/>
      <w:szCs w:val="18"/>
      <w:lang w:eastAsia="es-CO"/>
    </w:rPr>
  </w:style>
  <w:style w:type="paragraph" w:customStyle="1" w:styleId="xl92">
    <w:name w:val="xl92"/>
    <w:basedOn w:val="Normal"/>
    <w:rsid w:val="004B49C5"/>
    <w:pPr>
      <w:shd w:val="clear" w:color="000000" w:fill="FFFFFF"/>
      <w:spacing w:before="100" w:beforeAutospacing="1" w:after="100" w:afterAutospacing="1" w:line="240" w:lineRule="auto"/>
      <w:contextualSpacing w:val="0"/>
      <w:jc w:val="center"/>
    </w:pPr>
    <w:rPr>
      <w:rFonts w:eastAsia="Times New Roman"/>
      <w:b/>
      <w:bCs/>
      <w:sz w:val="18"/>
      <w:szCs w:val="18"/>
      <w:lang w:eastAsia="es-CO"/>
    </w:rPr>
  </w:style>
  <w:style w:type="paragraph" w:customStyle="1" w:styleId="xl93">
    <w:name w:val="xl93"/>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left"/>
    </w:pPr>
    <w:rPr>
      <w:rFonts w:eastAsia="Times New Roman"/>
      <w:b/>
      <w:bCs/>
      <w:sz w:val="18"/>
      <w:szCs w:val="18"/>
      <w:lang w:eastAsia="es-CO"/>
    </w:rPr>
  </w:style>
  <w:style w:type="paragraph" w:customStyle="1" w:styleId="xl94">
    <w:name w:val="xl94"/>
    <w:basedOn w:val="Normal"/>
    <w:rsid w:val="004B49C5"/>
    <w:pPr>
      <w:pBdr>
        <w:top w:val="single" w:sz="4" w:space="0" w:color="auto"/>
      </w:pBdr>
      <w:shd w:val="clear" w:color="000000" w:fill="FFFFFF"/>
      <w:spacing w:before="100" w:beforeAutospacing="1" w:after="100" w:afterAutospacing="1" w:line="240" w:lineRule="auto"/>
      <w:contextualSpacing w:val="0"/>
      <w:jc w:val="left"/>
      <w:textAlignment w:val="top"/>
    </w:pPr>
    <w:rPr>
      <w:rFonts w:eastAsia="Times New Roman"/>
      <w:color w:val="000000"/>
      <w:sz w:val="18"/>
      <w:szCs w:val="18"/>
      <w:lang w:eastAsia="es-CO"/>
    </w:rPr>
  </w:style>
  <w:style w:type="paragraph" w:customStyle="1" w:styleId="xl95">
    <w:name w:val="xl95"/>
    <w:basedOn w:val="Normal"/>
    <w:rsid w:val="004B49C5"/>
    <w:pPr>
      <w:pBdr>
        <w:top w:val="single" w:sz="4" w:space="0" w:color="auto"/>
        <w:left w:val="single" w:sz="4" w:space="0" w:color="auto"/>
        <w:bottom w:val="single" w:sz="4" w:space="0" w:color="auto"/>
      </w:pBdr>
      <w:shd w:val="clear" w:color="000000" w:fill="FFFFFF"/>
      <w:spacing w:before="100" w:beforeAutospacing="1" w:after="100" w:afterAutospacing="1" w:line="240" w:lineRule="auto"/>
      <w:contextualSpacing w:val="0"/>
      <w:jc w:val="left"/>
    </w:pPr>
    <w:rPr>
      <w:rFonts w:eastAsia="Times New Roman"/>
      <w:b/>
      <w:bCs/>
      <w:sz w:val="18"/>
      <w:szCs w:val="18"/>
      <w:lang w:eastAsia="es-CO"/>
    </w:rPr>
  </w:style>
  <w:style w:type="paragraph" w:customStyle="1" w:styleId="xl96">
    <w:name w:val="xl96"/>
    <w:basedOn w:val="Normal"/>
    <w:rsid w:val="004B49C5"/>
    <w:pPr>
      <w:pBdr>
        <w:top w:val="single" w:sz="4" w:space="0" w:color="auto"/>
        <w:bottom w:val="single" w:sz="4" w:space="0" w:color="auto"/>
      </w:pBdr>
      <w:shd w:val="clear" w:color="000000" w:fill="FFFFFF"/>
      <w:spacing w:before="100" w:beforeAutospacing="1" w:after="100" w:afterAutospacing="1" w:line="240" w:lineRule="auto"/>
      <w:contextualSpacing w:val="0"/>
      <w:jc w:val="left"/>
    </w:pPr>
    <w:rPr>
      <w:rFonts w:eastAsia="Times New Roman"/>
      <w:b/>
      <w:bCs/>
      <w:sz w:val="18"/>
      <w:szCs w:val="18"/>
      <w:lang w:eastAsia="es-CO"/>
    </w:rPr>
  </w:style>
  <w:style w:type="paragraph" w:customStyle="1" w:styleId="xl97">
    <w:name w:val="xl97"/>
    <w:basedOn w:val="Normal"/>
    <w:rsid w:val="004B49C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contextualSpacing w:val="0"/>
      <w:jc w:val="center"/>
    </w:pPr>
    <w:rPr>
      <w:rFonts w:ascii="Arial" w:eastAsia="Times New Roman" w:hAnsi="Arial" w:cs="Arial"/>
      <w:b/>
      <w:bCs/>
      <w:sz w:val="18"/>
      <w:szCs w:val="18"/>
      <w:lang w:eastAsia="es-CO"/>
    </w:rPr>
  </w:style>
  <w:style w:type="paragraph" w:customStyle="1" w:styleId="xl98">
    <w:name w:val="xl98"/>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center"/>
    </w:pPr>
    <w:rPr>
      <w:rFonts w:ascii="Arial" w:eastAsia="Times New Roman" w:hAnsi="Arial" w:cs="Arial"/>
      <w:b/>
      <w:bCs/>
      <w:sz w:val="18"/>
      <w:szCs w:val="18"/>
      <w:lang w:eastAsia="es-CO"/>
    </w:rPr>
  </w:style>
  <w:style w:type="paragraph" w:customStyle="1" w:styleId="xl99">
    <w:name w:val="xl99"/>
    <w:basedOn w:val="Normal"/>
    <w:rsid w:val="004B49C5"/>
    <w:pPr>
      <w:pBdr>
        <w:top w:val="single" w:sz="4" w:space="0" w:color="auto"/>
        <w:left w:val="single" w:sz="4" w:space="0" w:color="auto"/>
        <w:bottom w:val="single" w:sz="4" w:space="0" w:color="auto"/>
      </w:pBdr>
      <w:shd w:val="clear" w:color="000000" w:fill="FFFFFF"/>
      <w:spacing w:before="100" w:beforeAutospacing="1" w:after="100" w:afterAutospacing="1" w:line="240" w:lineRule="auto"/>
      <w:contextualSpacing w:val="0"/>
      <w:jc w:val="center"/>
    </w:pPr>
    <w:rPr>
      <w:rFonts w:ascii="Arial" w:eastAsia="Times New Roman" w:hAnsi="Arial" w:cs="Arial"/>
      <w:b/>
      <w:bCs/>
      <w:sz w:val="18"/>
      <w:szCs w:val="18"/>
      <w:lang w:eastAsia="es-CO"/>
    </w:rPr>
  </w:style>
  <w:style w:type="paragraph" w:customStyle="1" w:styleId="xl100">
    <w:name w:val="xl100"/>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center"/>
    </w:pPr>
    <w:rPr>
      <w:rFonts w:ascii="Arial" w:eastAsia="Times New Roman" w:hAnsi="Arial" w:cs="Arial"/>
      <w:b/>
      <w:bCs/>
      <w:color w:val="000000"/>
      <w:sz w:val="18"/>
      <w:szCs w:val="18"/>
      <w:lang w:eastAsia="es-CO"/>
    </w:rPr>
  </w:style>
  <w:style w:type="paragraph" w:customStyle="1" w:styleId="xl101">
    <w:name w:val="xl101"/>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left"/>
    </w:pPr>
    <w:rPr>
      <w:rFonts w:ascii="Arial" w:eastAsia="Times New Roman" w:hAnsi="Arial" w:cs="Arial"/>
      <w:color w:val="000000"/>
      <w:sz w:val="18"/>
      <w:szCs w:val="18"/>
      <w:lang w:eastAsia="es-CO"/>
    </w:rPr>
  </w:style>
  <w:style w:type="paragraph" w:customStyle="1" w:styleId="xl102">
    <w:name w:val="xl102"/>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center"/>
    </w:pPr>
    <w:rPr>
      <w:rFonts w:ascii="Arial" w:eastAsia="Times New Roman" w:hAnsi="Arial" w:cs="Arial"/>
      <w:b/>
      <w:bCs/>
      <w:color w:val="000000"/>
      <w:sz w:val="18"/>
      <w:szCs w:val="18"/>
      <w:lang w:eastAsia="es-CO"/>
    </w:rPr>
  </w:style>
  <w:style w:type="paragraph" w:customStyle="1" w:styleId="xl103">
    <w:name w:val="xl103"/>
    <w:basedOn w:val="Normal"/>
    <w:rsid w:val="004B49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left"/>
    </w:pPr>
    <w:rPr>
      <w:rFonts w:eastAsia="Times New Roman"/>
      <w:sz w:val="18"/>
      <w:szCs w:val="18"/>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76335">
      <w:bodyDiv w:val="1"/>
      <w:marLeft w:val="0"/>
      <w:marRight w:val="0"/>
      <w:marTop w:val="0"/>
      <w:marBottom w:val="0"/>
      <w:divBdr>
        <w:top w:val="none" w:sz="0" w:space="0" w:color="auto"/>
        <w:left w:val="none" w:sz="0" w:space="0" w:color="auto"/>
        <w:bottom w:val="none" w:sz="0" w:space="0" w:color="auto"/>
        <w:right w:val="none" w:sz="0" w:space="0" w:color="auto"/>
      </w:divBdr>
    </w:div>
    <w:div w:id="63531299">
      <w:bodyDiv w:val="1"/>
      <w:marLeft w:val="0"/>
      <w:marRight w:val="0"/>
      <w:marTop w:val="0"/>
      <w:marBottom w:val="0"/>
      <w:divBdr>
        <w:top w:val="none" w:sz="0" w:space="0" w:color="auto"/>
        <w:left w:val="none" w:sz="0" w:space="0" w:color="auto"/>
        <w:bottom w:val="none" w:sz="0" w:space="0" w:color="auto"/>
        <w:right w:val="none" w:sz="0" w:space="0" w:color="auto"/>
      </w:divBdr>
    </w:div>
    <w:div w:id="90780456">
      <w:bodyDiv w:val="1"/>
      <w:marLeft w:val="0"/>
      <w:marRight w:val="0"/>
      <w:marTop w:val="0"/>
      <w:marBottom w:val="0"/>
      <w:divBdr>
        <w:top w:val="none" w:sz="0" w:space="0" w:color="auto"/>
        <w:left w:val="none" w:sz="0" w:space="0" w:color="auto"/>
        <w:bottom w:val="none" w:sz="0" w:space="0" w:color="auto"/>
        <w:right w:val="none" w:sz="0" w:space="0" w:color="auto"/>
      </w:divBdr>
    </w:div>
    <w:div w:id="122383678">
      <w:bodyDiv w:val="1"/>
      <w:marLeft w:val="0"/>
      <w:marRight w:val="0"/>
      <w:marTop w:val="0"/>
      <w:marBottom w:val="0"/>
      <w:divBdr>
        <w:top w:val="none" w:sz="0" w:space="0" w:color="auto"/>
        <w:left w:val="none" w:sz="0" w:space="0" w:color="auto"/>
        <w:bottom w:val="none" w:sz="0" w:space="0" w:color="auto"/>
        <w:right w:val="none" w:sz="0" w:space="0" w:color="auto"/>
      </w:divBdr>
    </w:div>
    <w:div w:id="171802026">
      <w:bodyDiv w:val="1"/>
      <w:marLeft w:val="0"/>
      <w:marRight w:val="0"/>
      <w:marTop w:val="0"/>
      <w:marBottom w:val="0"/>
      <w:divBdr>
        <w:top w:val="none" w:sz="0" w:space="0" w:color="auto"/>
        <w:left w:val="none" w:sz="0" w:space="0" w:color="auto"/>
        <w:bottom w:val="none" w:sz="0" w:space="0" w:color="auto"/>
        <w:right w:val="none" w:sz="0" w:space="0" w:color="auto"/>
      </w:divBdr>
    </w:div>
    <w:div w:id="173962359">
      <w:bodyDiv w:val="1"/>
      <w:marLeft w:val="0"/>
      <w:marRight w:val="0"/>
      <w:marTop w:val="0"/>
      <w:marBottom w:val="0"/>
      <w:divBdr>
        <w:top w:val="none" w:sz="0" w:space="0" w:color="auto"/>
        <w:left w:val="none" w:sz="0" w:space="0" w:color="auto"/>
        <w:bottom w:val="none" w:sz="0" w:space="0" w:color="auto"/>
        <w:right w:val="none" w:sz="0" w:space="0" w:color="auto"/>
      </w:divBdr>
    </w:div>
    <w:div w:id="240143666">
      <w:bodyDiv w:val="1"/>
      <w:marLeft w:val="0"/>
      <w:marRight w:val="0"/>
      <w:marTop w:val="0"/>
      <w:marBottom w:val="0"/>
      <w:divBdr>
        <w:top w:val="none" w:sz="0" w:space="0" w:color="auto"/>
        <w:left w:val="none" w:sz="0" w:space="0" w:color="auto"/>
        <w:bottom w:val="none" w:sz="0" w:space="0" w:color="auto"/>
        <w:right w:val="none" w:sz="0" w:space="0" w:color="auto"/>
      </w:divBdr>
    </w:div>
    <w:div w:id="254023898">
      <w:bodyDiv w:val="1"/>
      <w:marLeft w:val="0"/>
      <w:marRight w:val="0"/>
      <w:marTop w:val="0"/>
      <w:marBottom w:val="0"/>
      <w:divBdr>
        <w:top w:val="none" w:sz="0" w:space="0" w:color="auto"/>
        <w:left w:val="none" w:sz="0" w:space="0" w:color="auto"/>
        <w:bottom w:val="none" w:sz="0" w:space="0" w:color="auto"/>
        <w:right w:val="none" w:sz="0" w:space="0" w:color="auto"/>
      </w:divBdr>
    </w:div>
    <w:div w:id="270747733">
      <w:bodyDiv w:val="1"/>
      <w:marLeft w:val="0"/>
      <w:marRight w:val="0"/>
      <w:marTop w:val="0"/>
      <w:marBottom w:val="0"/>
      <w:divBdr>
        <w:top w:val="none" w:sz="0" w:space="0" w:color="auto"/>
        <w:left w:val="none" w:sz="0" w:space="0" w:color="auto"/>
        <w:bottom w:val="none" w:sz="0" w:space="0" w:color="auto"/>
        <w:right w:val="none" w:sz="0" w:space="0" w:color="auto"/>
      </w:divBdr>
    </w:div>
    <w:div w:id="272976112">
      <w:bodyDiv w:val="1"/>
      <w:marLeft w:val="0"/>
      <w:marRight w:val="0"/>
      <w:marTop w:val="0"/>
      <w:marBottom w:val="0"/>
      <w:divBdr>
        <w:top w:val="none" w:sz="0" w:space="0" w:color="auto"/>
        <w:left w:val="none" w:sz="0" w:space="0" w:color="auto"/>
        <w:bottom w:val="none" w:sz="0" w:space="0" w:color="auto"/>
        <w:right w:val="none" w:sz="0" w:space="0" w:color="auto"/>
      </w:divBdr>
    </w:div>
    <w:div w:id="289938504">
      <w:bodyDiv w:val="1"/>
      <w:marLeft w:val="0"/>
      <w:marRight w:val="0"/>
      <w:marTop w:val="0"/>
      <w:marBottom w:val="0"/>
      <w:divBdr>
        <w:top w:val="none" w:sz="0" w:space="0" w:color="auto"/>
        <w:left w:val="none" w:sz="0" w:space="0" w:color="auto"/>
        <w:bottom w:val="none" w:sz="0" w:space="0" w:color="auto"/>
        <w:right w:val="none" w:sz="0" w:space="0" w:color="auto"/>
      </w:divBdr>
    </w:div>
    <w:div w:id="301812093">
      <w:bodyDiv w:val="1"/>
      <w:marLeft w:val="0"/>
      <w:marRight w:val="0"/>
      <w:marTop w:val="0"/>
      <w:marBottom w:val="0"/>
      <w:divBdr>
        <w:top w:val="none" w:sz="0" w:space="0" w:color="auto"/>
        <w:left w:val="none" w:sz="0" w:space="0" w:color="auto"/>
        <w:bottom w:val="none" w:sz="0" w:space="0" w:color="auto"/>
        <w:right w:val="none" w:sz="0" w:space="0" w:color="auto"/>
      </w:divBdr>
    </w:div>
    <w:div w:id="348415785">
      <w:bodyDiv w:val="1"/>
      <w:marLeft w:val="0"/>
      <w:marRight w:val="0"/>
      <w:marTop w:val="0"/>
      <w:marBottom w:val="0"/>
      <w:divBdr>
        <w:top w:val="none" w:sz="0" w:space="0" w:color="auto"/>
        <w:left w:val="none" w:sz="0" w:space="0" w:color="auto"/>
        <w:bottom w:val="none" w:sz="0" w:space="0" w:color="auto"/>
        <w:right w:val="none" w:sz="0" w:space="0" w:color="auto"/>
      </w:divBdr>
    </w:div>
    <w:div w:id="356194863">
      <w:bodyDiv w:val="1"/>
      <w:marLeft w:val="0"/>
      <w:marRight w:val="0"/>
      <w:marTop w:val="0"/>
      <w:marBottom w:val="0"/>
      <w:divBdr>
        <w:top w:val="none" w:sz="0" w:space="0" w:color="auto"/>
        <w:left w:val="none" w:sz="0" w:space="0" w:color="auto"/>
        <w:bottom w:val="none" w:sz="0" w:space="0" w:color="auto"/>
        <w:right w:val="none" w:sz="0" w:space="0" w:color="auto"/>
      </w:divBdr>
    </w:div>
    <w:div w:id="556430405">
      <w:bodyDiv w:val="1"/>
      <w:marLeft w:val="0"/>
      <w:marRight w:val="0"/>
      <w:marTop w:val="0"/>
      <w:marBottom w:val="0"/>
      <w:divBdr>
        <w:top w:val="none" w:sz="0" w:space="0" w:color="auto"/>
        <w:left w:val="none" w:sz="0" w:space="0" w:color="auto"/>
        <w:bottom w:val="none" w:sz="0" w:space="0" w:color="auto"/>
        <w:right w:val="none" w:sz="0" w:space="0" w:color="auto"/>
      </w:divBdr>
    </w:div>
    <w:div w:id="680934815">
      <w:bodyDiv w:val="1"/>
      <w:marLeft w:val="0"/>
      <w:marRight w:val="0"/>
      <w:marTop w:val="0"/>
      <w:marBottom w:val="0"/>
      <w:divBdr>
        <w:top w:val="none" w:sz="0" w:space="0" w:color="auto"/>
        <w:left w:val="none" w:sz="0" w:space="0" w:color="auto"/>
        <w:bottom w:val="none" w:sz="0" w:space="0" w:color="auto"/>
        <w:right w:val="none" w:sz="0" w:space="0" w:color="auto"/>
      </w:divBdr>
    </w:div>
    <w:div w:id="709964528">
      <w:bodyDiv w:val="1"/>
      <w:marLeft w:val="0"/>
      <w:marRight w:val="0"/>
      <w:marTop w:val="0"/>
      <w:marBottom w:val="0"/>
      <w:divBdr>
        <w:top w:val="none" w:sz="0" w:space="0" w:color="auto"/>
        <w:left w:val="none" w:sz="0" w:space="0" w:color="auto"/>
        <w:bottom w:val="none" w:sz="0" w:space="0" w:color="auto"/>
        <w:right w:val="none" w:sz="0" w:space="0" w:color="auto"/>
      </w:divBdr>
    </w:div>
    <w:div w:id="757294747">
      <w:bodyDiv w:val="1"/>
      <w:marLeft w:val="0"/>
      <w:marRight w:val="0"/>
      <w:marTop w:val="0"/>
      <w:marBottom w:val="0"/>
      <w:divBdr>
        <w:top w:val="none" w:sz="0" w:space="0" w:color="auto"/>
        <w:left w:val="none" w:sz="0" w:space="0" w:color="auto"/>
        <w:bottom w:val="none" w:sz="0" w:space="0" w:color="auto"/>
        <w:right w:val="none" w:sz="0" w:space="0" w:color="auto"/>
      </w:divBdr>
    </w:div>
    <w:div w:id="789665038">
      <w:bodyDiv w:val="1"/>
      <w:marLeft w:val="0"/>
      <w:marRight w:val="0"/>
      <w:marTop w:val="0"/>
      <w:marBottom w:val="0"/>
      <w:divBdr>
        <w:top w:val="none" w:sz="0" w:space="0" w:color="auto"/>
        <w:left w:val="none" w:sz="0" w:space="0" w:color="auto"/>
        <w:bottom w:val="none" w:sz="0" w:space="0" w:color="auto"/>
        <w:right w:val="none" w:sz="0" w:space="0" w:color="auto"/>
      </w:divBdr>
    </w:div>
    <w:div w:id="817116281">
      <w:bodyDiv w:val="1"/>
      <w:marLeft w:val="0"/>
      <w:marRight w:val="0"/>
      <w:marTop w:val="0"/>
      <w:marBottom w:val="0"/>
      <w:divBdr>
        <w:top w:val="none" w:sz="0" w:space="0" w:color="auto"/>
        <w:left w:val="none" w:sz="0" w:space="0" w:color="auto"/>
        <w:bottom w:val="none" w:sz="0" w:space="0" w:color="auto"/>
        <w:right w:val="none" w:sz="0" w:space="0" w:color="auto"/>
      </w:divBdr>
    </w:div>
    <w:div w:id="852761162">
      <w:bodyDiv w:val="1"/>
      <w:marLeft w:val="0"/>
      <w:marRight w:val="0"/>
      <w:marTop w:val="0"/>
      <w:marBottom w:val="0"/>
      <w:divBdr>
        <w:top w:val="none" w:sz="0" w:space="0" w:color="auto"/>
        <w:left w:val="none" w:sz="0" w:space="0" w:color="auto"/>
        <w:bottom w:val="none" w:sz="0" w:space="0" w:color="auto"/>
        <w:right w:val="none" w:sz="0" w:space="0" w:color="auto"/>
      </w:divBdr>
    </w:div>
    <w:div w:id="969440832">
      <w:bodyDiv w:val="1"/>
      <w:marLeft w:val="0"/>
      <w:marRight w:val="0"/>
      <w:marTop w:val="0"/>
      <w:marBottom w:val="0"/>
      <w:divBdr>
        <w:top w:val="none" w:sz="0" w:space="0" w:color="auto"/>
        <w:left w:val="none" w:sz="0" w:space="0" w:color="auto"/>
        <w:bottom w:val="none" w:sz="0" w:space="0" w:color="auto"/>
        <w:right w:val="none" w:sz="0" w:space="0" w:color="auto"/>
      </w:divBdr>
    </w:div>
    <w:div w:id="972367936">
      <w:bodyDiv w:val="1"/>
      <w:marLeft w:val="0"/>
      <w:marRight w:val="0"/>
      <w:marTop w:val="0"/>
      <w:marBottom w:val="0"/>
      <w:divBdr>
        <w:top w:val="none" w:sz="0" w:space="0" w:color="auto"/>
        <w:left w:val="none" w:sz="0" w:space="0" w:color="auto"/>
        <w:bottom w:val="none" w:sz="0" w:space="0" w:color="auto"/>
        <w:right w:val="none" w:sz="0" w:space="0" w:color="auto"/>
      </w:divBdr>
    </w:div>
    <w:div w:id="973368849">
      <w:bodyDiv w:val="1"/>
      <w:marLeft w:val="0"/>
      <w:marRight w:val="0"/>
      <w:marTop w:val="0"/>
      <w:marBottom w:val="0"/>
      <w:divBdr>
        <w:top w:val="none" w:sz="0" w:space="0" w:color="auto"/>
        <w:left w:val="none" w:sz="0" w:space="0" w:color="auto"/>
        <w:bottom w:val="none" w:sz="0" w:space="0" w:color="auto"/>
        <w:right w:val="none" w:sz="0" w:space="0" w:color="auto"/>
      </w:divBdr>
    </w:div>
    <w:div w:id="984892953">
      <w:bodyDiv w:val="1"/>
      <w:marLeft w:val="0"/>
      <w:marRight w:val="0"/>
      <w:marTop w:val="0"/>
      <w:marBottom w:val="0"/>
      <w:divBdr>
        <w:top w:val="none" w:sz="0" w:space="0" w:color="auto"/>
        <w:left w:val="none" w:sz="0" w:space="0" w:color="auto"/>
        <w:bottom w:val="none" w:sz="0" w:space="0" w:color="auto"/>
        <w:right w:val="none" w:sz="0" w:space="0" w:color="auto"/>
      </w:divBdr>
    </w:div>
    <w:div w:id="1098477284">
      <w:bodyDiv w:val="1"/>
      <w:marLeft w:val="0"/>
      <w:marRight w:val="0"/>
      <w:marTop w:val="0"/>
      <w:marBottom w:val="0"/>
      <w:divBdr>
        <w:top w:val="none" w:sz="0" w:space="0" w:color="auto"/>
        <w:left w:val="none" w:sz="0" w:space="0" w:color="auto"/>
        <w:bottom w:val="none" w:sz="0" w:space="0" w:color="auto"/>
        <w:right w:val="none" w:sz="0" w:space="0" w:color="auto"/>
      </w:divBdr>
    </w:div>
    <w:div w:id="1228221368">
      <w:bodyDiv w:val="1"/>
      <w:marLeft w:val="0"/>
      <w:marRight w:val="0"/>
      <w:marTop w:val="0"/>
      <w:marBottom w:val="0"/>
      <w:divBdr>
        <w:top w:val="none" w:sz="0" w:space="0" w:color="auto"/>
        <w:left w:val="none" w:sz="0" w:space="0" w:color="auto"/>
        <w:bottom w:val="none" w:sz="0" w:space="0" w:color="auto"/>
        <w:right w:val="none" w:sz="0" w:space="0" w:color="auto"/>
      </w:divBdr>
    </w:div>
    <w:div w:id="1290551965">
      <w:bodyDiv w:val="1"/>
      <w:marLeft w:val="0"/>
      <w:marRight w:val="0"/>
      <w:marTop w:val="0"/>
      <w:marBottom w:val="0"/>
      <w:divBdr>
        <w:top w:val="none" w:sz="0" w:space="0" w:color="auto"/>
        <w:left w:val="none" w:sz="0" w:space="0" w:color="auto"/>
        <w:bottom w:val="none" w:sz="0" w:space="0" w:color="auto"/>
        <w:right w:val="none" w:sz="0" w:space="0" w:color="auto"/>
      </w:divBdr>
    </w:div>
    <w:div w:id="1314681779">
      <w:bodyDiv w:val="1"/>
      <w:marLeft w:val="0"/>
      <w:marRight w:val="0"/>
      <w:marTop w:val="0"/>
      <w:marBottom w:val="0"/>
      <w:divBdr>
        <w:top w:val="none" w:sz="0" w:space="0" w:color="auto"/>
        <w:left w:val="none" w:sz="0" w:space="0" w:color="auto"/>
        <w:bottom w:val="none" w:sz="0" w:space="0" w:color="auto"/>
        <w:right w:val="none" w:sz="0" w:space="0" w:color="auto"/>
      </w:divBdr>
    </w:div>
    <w:div w:id="1637103403">
      <w:bodyDiv w:val="1"/>
      <w:marLeft w:val="0"/>
      <w:marRight w:val="0"/>
      <w:marTop w:val="0"/>
      <w:marBottom w:val="0"/>
      <w:divBdr>
        <w:top w:val="none" w:sz="0" w:space="0" w:color="auto"/>
        <w:left w:val="none" w:sz="0" w:space="0" w:color="auto"/>
        <w:bottom w:val="none" w:sz="0" w:space="0" w:color="auto"/>
        <w:right w:val="none" w:sz="0" w:space="0" w:color="auto"/>
      </w:divBdr>
    </w:div>
    <w:div w:id="1656487960">
      <w:bodyDiv w:val="1"/>
      <w:marLeft w:val="0"/>
      <w:marRight w:val="0"/>
      <w:marTop w:val="0"/>
      <w:marBottom w:val="0"/>
      <w:divBdr>
        <w:top w:val="none" w:sz="0" w:space="0" w:color="auto"/>
        <w:left w:val="none" w:sz="0" w:space="0" w:color="auto"/>
        <w:bottom w:val="none" w:sz="0" w:space="0" w:color="auto"/>
        <w:right w:val="none" w:sz="0" w:space="0" w:color="auto"/>
      </w:divBdr>
    </w:div>
    <w:div w:id="1670474982">
      <w:bodyDiv w:val="1"/>
      <w:marLeft w:val="0"/>
      <w:marRight w:val="0"/>
      <w:marTop w:val="0"/>
      <w:marBottom w:val="0"/>
      <w:divBdr>
        <w:top w:val="none" w:sz="0" w:space="0" w:color="auto"/>
        <w:left w:val="none" w:sz="0" w:space="0" w:color="auto"/>
        <w:bottom w:val="none" w:sz="0" w:space="0" w:color="auto"/>
        <w:right w:val="none" w:sz="0" w:space="0" w:color="auto"/>
      </w:divBdr>
    </w:div>
    <w:div w:id="1709448520">
      <w:bodyDiv w:val="1"/>
      <w:marLeft w:val="0"/>
      <w:marRight w:val="0"/>
      <w:marTop w:val="0"/>
      <w:marBottom w:val="0"/>
      <w:divBdr>
        <w:top w:val="none" w:sz="0" w:space="0" w:color="auto"/>
        <w:left w:val="none" w:sz="0" w:space="0" w:color="auto"/>
        <w:bottom w:val="none" w:sz="0" w:space="0" w:color="auto"/>
        <w:right w:val="none" w:sz="0" w:space="0" w:color="auto"/>
      </w:divBdr>
    </w:div>
    <w:div w:id="1787385591">
      <w:bodyDiv w:val="1"/>
      <w:marLeft w:val="0"/>
      <w:marRight w:val="0"/>
      <w:marTop w:val="0"/>
      <w:marBottom w:val="0"/>
      <w:divBdr>
        <w:top w:val="none" w:sz="0" w:space="0" w:color="auto"/>
        <w:left w:val="none" w:sz="0" w:space="0" w:color="auto"/>
        <w:bottom w:val="none" w:sz="0" w:space="0" w:color="auto"/>
        <w:right w:val="none" w:sz="0" w:space="0" w:color="auto"/>
      </w:divBdr>
    </w:div>
    <w:div w:id="1876042025">
      <w:bodyDiv w:val="1"/>
      <w:marLeft w:val="0"/>
      <w:marRight w:val="0"/>
      <w:marTop w:val="0"/>
      <w:marBottom w:val="0"/>
      <w:divBdr>
        <w:top w:val="none" w:sz="0" w:space="0" w:color="auto"/>
        <w:left w:val="none" w:sz="0" w:space="0" w:color="auto"/>
        <w:bottom w:val="none" w:sz="0" w:space="0" w:color="auto"/>
        <w:right w:val="none" w:sz="0" w:space="0" w:color="auto"/>
      </w:divBdr>
    </w:div>
    <w:div w:id="1940719337">
      <w:bodyDiv w:val="1"/>
      <w:marLeft w:val="0"/>
      <w:marRight w:val="0"/>
      <w:marTop w:val="0"/>
      <w:marBottom w:val="0"/>
      <w:divBdr>
        <w:top w:val="none" w:sz="0" w:space="0" w:color="auto"/>
        <w:left w:val="none" w:sz="0" w:space="0" w:color="auto"/>
        <w:bottom w:val="none" w:sz="0" w:space="0" w:color="auto"/>
        <w:right w:val="none" w:sz="0" w:space="0" w:color="auto"/>
      </w:divBdr>
    </w:div>
    <w:div w:id="1951669251">
      <w:bodyDiv w:val="1"/>
      <w:marLeft w:val="0"/>
      <w:marRight w:val="0"/>
      <w:marTop w:val="0"/>
      <w:marBottom w:val="0"/>
      <w:divBdr>
        <w:top w:val="none" w:sz="0" w:space="0" w:color="auto"/>
        <w:left w:val="none" w:sz="0" w:space="0" w:color="auto"/>
        <w:bottom w:val="none" w:sz="0" w:space="0" w:color="auto"/>
        <w:right w:val="none" w:sz="0" w:space="0" w:color="auto"/>
      </w:divBdr>
    </w:div>
    <w:div w:id="1976598317">
      <w:bodyDiv w:val="1"/>
      <w:marLeft w:val="0"/>
      <w:marRight w:val="0"/>
      <w:marTop w:val="0"/>
      <w:marBottom w:val="0"/>
      <w:divBdr>
        <w:top w:val="none" w:sz="0" w:space="0" w:color="auto"/>
        <w:left w:val="none" w:sz="0" w:space="0" w:color="auto"/>
        <w:bottom w:val="none" w:sz="0" w:space="0" w:color="auto"/>
        <w:right w:val="none" w:sz="0" w:space="0" w:color="auto"/>
      </w:divBdr>
    </w:div>
    <w:div w:id="1986666038">
      <w:bodyDiv w:val="1"/>
      <w:marLeft w:val="0"/>
      <w:marRight w:val="0"/>
      <w:marTop w:val="0"/>
      <w:marBottom w:val="0"/>
      <w:divBdr>
        <w:top w:val="none" w:sz="0" w:space="0" w:color="auto"/>
        <w:left w:val="none" w:sz="0" w:space="0" w:color="auto"/>
        <w:bottom w:val="none" w:sz="0" w:space="0" w:color="auto"/>
        <w:right w:val="none" w:sz="0" w:space="0" w:color="auto"/>
      </w:divBdr>
    </w:div>
    <w:div w:id="2016496027">
      <w:bodyDiv w:val="1"/>
      <w:marLeft w:val="0"/>
      <w:marRight w:val="0"/>
      <w:marTop w:val="0"/>
      <w:marBottom w:val="0"/>
      <w:divBdr>
        <w:top w:val="none" w:sz="0" w:space="0" w:color="auto"/>
        <w:left w:val="none" w:sz="0" w:space="0" w:color="auto"/>
        <w:bottom w:val="none" w:sz="0" w:space="0" w:color="auto"/>
        <w:right w:val="none" w:sz="0" w:space="0" w:color="auto"/>
      </w:divBdr>
    </w:div>
    <w:div w:id="2063285794">
      <w:bodyDiv w:val="1"/>
      <w:marLeft w:val="0"/>
      <w:marRight w:val="0"/>
      <w:marTop w:val="0"/>
      <w:marBottom w:val="0"/>
      <w:divBdr>
        <w:top w:val="none" w:sz="0" w:space="0" w:color="auto"/>
        <w:left w:val="none" w:sz="0" w:space="0" w:color="auto"/>
        <w:bottom w:val="none" w:sz="0" w:space="0" w:color="auto"/>
        <w:right w:val="none" w:sz="0" w:space="0" w:color="auto"/>
      </w:divBdr>
    </w:div>
    <w:div w:id="2105681650">
      <w:bodyDiv w:val="1"/>
      <w:marLeft w:val="0"/>
      <w:marRight w:val="0"/>
      <w:marTop w:val="0"/>
      <w:marBottom w:val="0"/>
      <w:divBdr>
        <w:top w:val="none" w:sz="0" w:space="0" w:color="auto"/>
        <w:left w:val="none" w:sz="0" w:space="0" w:color="auto"/>
        <w:bottom w:val="none" w:sz="0" w:space="0" w:color="auto"/>
        <w:right w:val="none" w:sz="0" w:space="0" w:color="auto"/>
      </w:divBdr>
    </w:div>
    <w:div w:id="2118678378">
      <w:bodyDiv w:val="1"/>
      <w:marLeft w:val="0"/>
      <w:marRight w:val="0"/>
      <w:marTop w:val="0"/>
      <w:marBottom w:val="0"/>
      <w:divBdr>
        <w:top w:val="none" w:sz="0" w:space="0" w:color="auto"/>
        <w:left w:val="none" w:sz="0" w:space="0" w:color="auto"/>
        <w:bottom w:val="none" w:sz="0" w:space="0" w:color="auto"/>
        <w:right w:val="none" w:sz="0" w:space="0" w:color="auto"/>
      </w:divBdr>
    </w:div>
    <w:div w:id="2134514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footer4.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ena\Desktop\nnn.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Aur14</b:Tag>
    <b:SourceType>Book</b:SourceType>
    <b:Guid>{9C4A66E6-9D41-4993-BE47-BAA024D90B02}</b:Guid>
    <b:Author>
      <b:Author>
        <b:Corporate>Géminis Consultores S.A.S.</b:Corporate>
      </b:Author>
    </b:Author>
    <b:RefOrder>3</b:RefOrder>
  </b:Source>
  <b:Source>
    <b:Tag>Fer97</b:Tag>
    <b:SourceType>Book</b:SourceType>
    <b:Guid>{761B7006-B9BA-4399-82DB-AC92D5404C05}</b:Guid>
    <b:Title>Instrumentos de gestión ambiental en la empresa</b:Title>
    <b:Year>1997</b:Year>
    <b:Publisher>Mundi-Prensa</b:Publisher>
    <b:City>Madrid - Barcelona - México</b:City>
    <b:Author>
      <b:Author>
        <b:NameList>
          <b:Person>
            <b:Last>Fernández-Vítora</b:Last>
            <b:First>V.</b:First>
          </b:Person>
        </b:NameList>
      </b:Author>
    </b:Author>
    <b:RefOrder>1</b:RefOrder>
  </b:Source>
  <b:Source>
    <b:Tag>Mig07</b:Tag>
    <b:SourceType>Report</b:SourceType>
    <b:Guid>{4FBD631E-D6EC-4B00-9027-6913859581A0}</b:Guid>
    <b:Title>Efectos del pisoteo y pastoreo animal sobre suelos en siembra directa</b:Title>
    <b:Year>2007</b:Year>
    <b:City>Argentina</b:City>
    <b:Author>
      <b:Author>
        <b:NameList>
          <b:Person>
            <b:Last>Taboada</b:Last>
            <b:First>Miguel</b:First>
          </b:Person>
        </b:NameList>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7C58E2-BAD1-4149-B4F2-136CE585A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nnn</Template>
  <TotalTime>1</TotalTime>
  <Pages>71</Pages>
  <Words>20356</Words>
  <Characters>111960</Characters>
  <Application>Microsoft Office Word</Application>
  <DocSecurity>0</DocSecurity>
  <Lines>933</Lines>
  <Paragraphs>264</Paragraphs>
  <ScaleCrop>false</ScaleCrop>
  <HeadingPairs>
    <vt:vector size="2" baseType="variant">
      <vt:variant>
        <vt:lpstr>Título</vt:lpstr>
      </vt:variant>
      <vt:variant>
        <vt:i4>1</vt:i4>
      </vt:variant>
    </vt:vector>
  </HeadingPairs>
  <TitlesOfParts>
    <vt:vector size="1" baseType="lpstr">
      <vt:lpstr>PLANTILLA PARA DOCUMENTOS</vt:lpstr>
    </vt:vector>
  </TitlesOfParts>
  <Company>COMPAÑÍA</Company>
  <LinksUpToDate>false</LinksUpToDate>
  <CharactersWithSpaces>132052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PARA DOCUMENTOS</dc:title>
  <dc:subject/>
  <dc:creator>GÉMINIS CONSULTORES S.A.S.</dc:creator>
  <cp:keywords/>
  <dc:description/>
  <cp:lastModifiedBy>Ambiental_ECOGERENCIA</cp:lastModifiedBy>
  <cp:revision>2</cp:revision>
  <cp:lastPrinted>2015-11-27T17:32:00Z</cp:lastPrinted>
  <dcterms:created xsi:type="dcterms:W3CDTF">2016-03-09T17:58:00Z</dcterms:created>
  <dcterms:modified xsi:type="dcterms:W3CDTF">2016-03-09T17:58:00Z</dcterms:modified>
</cp:coreProperties>
</file>